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78A0" w14:textId="203FB90B" w:rsidR="00583425" w:rsidRDefault="00AC6FAF" w:rsidP="00583425">
      <w:pPr>
        <w:pStyle w:val="Default"/>
        <w:jc w:val="center"/>
        <w:rPr>
          <w:b/>
          <w:bCs/>
          <w:color w:val="auto"/>
        </w:rPr>
      </w:pPr>
      <w:r w:rsidRPr="00435605">
        <w:rPr>
          <w:b/>
          <w:bCs/>
          <w:color w:val="auto"/>
        </w:rPr>
        <w:t xml:space="preserve">GENDER PAY GAP REPORT </w:t>
      </w:r>
      <w:r w:rsidR="003D3F89" w:rsidRPr="003D3F89">
        <w:rPr>
          <w:b/>
          <w:bCs/>
          <w:color w:val="auto"/>
        </w:rPr>
        <w:t>202</w:t>
      </w:r>
      <w:r w:rsidR="006E54CE">
        <w:rPr>
          <w:b/>
          <w:bCs/>
          <w:color w:val="auto"/>
        </w:rPr>
        <w:t>5</w:t>
      </w:r>
    </w:p>
    <w:p w14:paraId="6B1FBC7A" w14:textId="4A7F8013" w:rsidR="00AC6FAF" w:rsidRDefault="00AC6FAF" w:rsidP="00583425">
      <w:pPr>
        <w:pStyle w:val="Default"/>
        <w:jc w:val="center"/>
        <w:rPr>
          <w:b/>
          <w:bCs/>
          <w:color w:val="auto"/>
        </w:rPr>
      </w:pPr>
      <w:r w:rsidRPr="00435605">
        <w:rPr>
          <w:b/>
          <w:bCs/>
          <w:color w:val="auto"/>
        </w:rPr>
        <w:t xml:space="preserve">NORTHUMBRIA </w:t>
      </w:r>
      <w:r w:rsidR="00047030">
        <w:rPr>
          <w:b/>
          <w:bCs/>
          <w:color w:val="auto"/>
        </w:rPr>
        <w:t>PRIMARY CARE</w:t>
      </w:r>
      <w:r w:rsidR="003557CB">
        <w:rPr>
          <w:b/>
          <w:bCs/>
          <w:color w:val="auto"/>
        </w:rPr>
        <w:t xml:space="preserve"> LTD </w:t>
      </w:r>
    </w:p>
    <w:p w14:paraId="275EE174" w14:textId="77777777" w:rsidR="003557CB" w:rsidRPr="00435605" w:rsidRDefault="003557CB" w:rsidP="00583425">
      <w:pPr>
        <w:pStyle w:val="Default"/>
        <w:jc w:val="center"/>
        <w:rPr>
          <w:b/>
          <w:bCs/>
          <w:color w:val="auto"/>
        </w:rPr>
      </w:pPr>
    </w:p>
    <w:p w14:paraId="64135665" w14:textId="033AF85F" w:rsidR="00AC6FAF" w:rsidRDefault="00AC6FAF" w:rsidP="00E1766B">
      <w:pPr>
        <w:pStyle w:val="Default"/>
        <w:numPr>
          <w:ilvl w:val="0"/>
          <w:numId w:val="20"/>
        </w:numPr>
        <w:rPr>
          <w:b/>
          <w:bCs/>
          <w:color w:val="auto"/>
          <w:sz w:val="22"/>
          <w:szCs w:val="22"/>
        </w:rPr>
      </w:pPr>
      <w:r w:rsidRPr="00E27CD0">
        <w:rPr>
          <w:b/>
          <w:bCs/>
          <w:color w:val="auto"/>
          <w:sz w:val="22"/>
          <w:szCs w:val="22"/>
        </w:rPr>
        <w:t xml:space="preserve">Introduction </w:t>
      </w:r>
    </w:p>
    <w:p w14:paraId="140C06D9" w14:textId="77777777" w:rsidR="0061478A" w:rsidRDefault="0061478A" w:rsidP="0061478A">
      <w:pPr>
        <w:pStyle w:val="Default"/>
        <w:rPr>
          <w:b/>
          <w:bCs/>
          <w:color w:val="auto"/>
          <w:sz w:val="22"/>
          <w:szCs w:val="22"/>
        </w:rPr>
      </w:pPr>
    </w:p>
    <w:p w14:paraId="07A54B37" w14:textId="48E13601" w:rsidR="0061478A" w:rsidRDefault="0061478A" w:rsidP="00AC6FAF">
      <w:pPr>
        <w:pStyle w:val="Default"/>
        <w:rPr>
          <w:color w:val="auto"/>
          <w:sz w:val="22"/>
          <w:szCs w:val="22"/>
        </w:rPr>
      </w:pPr>
      <w:r w:rsidRPr="0061478A">
        <w:rPr>
          <w:color w:val="auto"/>
          <w:sz w:val="22"/>
          <w:szCs w:val="22"/>
        </w:rPr>
        <w:t>The Gender Pay Gap (GPG</w:t>
      </w:r>
      <w:r w:rsidR="00226B25">
        <w:rPr>
          <w:color w:val="auto"/>
          <w:sz w:val="22"/>
          <w:szCs w:val="22"/>
        </w:rPr>
        <w:t xml:space="preserve"> is defined as “the difference between the average pay of men and women in an organisation” (Gov .UK)</w:t>
      </w:r>
      <w:r w:rsidR="00E1766B">
        <w:rPr>
          <w:color w:val="auto"/>
          <w:sz w:val="22"/>
          <w:szCs w:val="22"/>
        </w:rPr>
        <w:t xml:space="preserve">.  </w:t>
      </w:r>
      <w:r>
        <w:rPr>
          <w:color w:val="auto"/>
          <w:sz w:val="22"/>
          <w:szCs w:val="22"/>
        </w:rPr>
        <w:t>It differs from Equal Pay in that:</w:t>
      </w:r>
    </w:p>
    <w:p w14:paraId="36F7723A" w14:textId="7D24AB83" w:rsidR="0061478A" w:rsidRDefault="0061478A" w:rsidP="0061478A">
      <w:pPr>
        <w:pStyle w:val="Default"/>
        <w:numPr>
          <w:ilvl w:val="0"/>
          <w:numId w:val="17"/>
        </w:numPr>
        <w:spacing w:after="30"/>
        <w:rPr>
          <w:color w:val="auto"/>
          <w:sz w:val="22"/>
          <w:szCs w:val="22"/>
        </w:rPr>
      </w:pPr>
      <w:r w:rsidRPr="00E27CD0">
        <w:rPr>
          <w:color w:val="auto"/>
          <w:sz w:val="22"/>
          <w:szCs w:val="22"/>
        </w:rPr>
        <w:t>Equal pay is concerned with male and female employees earning equal pay for work of equal value</w:t>
      </w:r>
    </w:p>
    <w:p w14:paraId="226410D4" w14:textId="067622E0" w:rsidR="0061478A" w:rsidRDefault="0061478A" w:rsidP="0061478A">
      <w:pPr>
        <w:pStyle w:val="Default"/>
        <w:numPr>
          <w:ilvl w:val="0"/>
          <w:numId w:val="17"/>
        </w:numPr>
        <w:spacing w:after="30"/>
        <w:rPr>
          <w:color w:val="auto"/>
          <w:sz w:val="22"/>
          <w:szCs w:val="22"/>
        </w:rPr>
      </w:pPr>
      <w:r w:rsidRPr="0061478A">
        <w:rPr>
          <w:color w:val="auto"/>
          <w:sz w:val="22"/>
          <w:szCs w:val="22"/>
        </w:rPr>
        <w:t xml:space="preserve">The gender pay gap is about the difference between male and female employees’ average pay within </w:t>
      </w:r>
      <w:r>
        <w:rPr>
          <w:color w:val="auto"/>
          <w:sz w:val="22"/>
          <w:szCs w:val="22"/>
        </w:rPr>
        <w:t>the</w:t>
      </w:r>
      <w:r w:rsidRPr="0061478A">
        <w:rPr>
          <w:color w:val="auto"/>
          <w:sz w:val="22"/>
          <w:szCs w:val="22"/>
        </w:rPr>
        <w:t xml:space="preserve"> organisation</w:t>
      </w:r>
    </w:p>
    <w:p w14:paraId="079B7B38" w14:textId="77777777" w:rsidR="0061478A" w:rsidRPr="0061478A" w:rsidRDefault="0061478A" w:rsidP="0061478A">
      <w:pPr>
        <w:pStyle w:val="Default"/>
        <w:spacing w:after="30"/>
        <w:rPr>
          <w:color w:val="auto"/>
          <w:sz w:val="22"/>
          <w:szCs w:val="22"/>
        </w:rPr>
      </w:pPr>
    </w:p>
    <w:p w14:paraId="73718035" w14:textId="529E75C8" w:rsidR="003557CB" w:rsidRDefault="003557CB" w:rsidP="003557CB">
      <w:pPr>
        <w:pStyle w:val="Default"/>
        <w:rPr>
          <w:color w:val="000000" w:themeColor="text1"/>
          <w:sz w:val="22"/>
          <w:szCs w:val="22"/>
        </w:rPr>
      </w:pPr>
      <w:r w:rsidRPr="00D80939">
        <w:rPr>
          <w:color w:val="000000" w:themeColor="text1"/>
          <w:sz w:val="22"/>
          <w:szCs w:val="22"/>
        </w:rPr>
        <w:t>Prior to 5</w:t>
      </w:r>
      <w:r w:rsidRPr="00D80939">
        <w:rPr>
          <w:color w:val="000000" w:themeColor="text1"/>
          <w:sz w:val="22"/>
          <w:szCs w:val="22"/>
          <w:vertAlign w:val="superscript"/>
        </w:rPr>
        <w:t>th</w:t>
      </w:r>
      <w:r w:rsidRPr="00D80939">
        <w:rPr>
          <w:color w:val="000000" w:themeColor="text1"/>
          <w:sz w:val="22"/>
          <w:szCs w:val="22"/>
        </w:rPr>
        <w:t xml:space="preserve"> April 2025, NPC </w:t>
      </w:r>
      <w:r>
        <w:rPr>
          <w:color w:val="000000" w:themeColor="text1"/>
          <w:sz w:val="22"/>
          <w:szCs w:val="22"/>
        </w:rPr>
        <w:t xml:space="preserve">was </w:t>
      </w:r>
      <w:r w:rsidRPr="00D80939">
        <w:rPr>
          <w:color w:val="000000" w:themeColor="text1"/>
          <w:sz w:val="22"/>
          <w:szCs w:val="22"/>
        </w:rPr>
        <w:t xml:space="preserve">not required to publish the Gender Pay Gap as the eligibility is based on an organisation have 250 or more eligible employees at the snapshot date.  </w:t>
      </w:r>
      <w:r>
        <w:rPr>
          <w:color w:val="000000" w:themeColor="text1"/>
          <w:sz w:val="22"/>
          <w:szCs w:val="22"/>
        </w:rPr>
        <w:t>NPC met the statutory requirements to report and publish Gender Pay Gap data by 5</w:t>
      </w:r>
      <w:r w:rsidRPr="00D80939">
        <w:rPr>
          <w:color w:val="000000" w:themeColor="text1"/>
          <w:sz w:val="22"/>
          <w:szCs w:val="22"/>
          <w:vertAlign w:val="superscript"/>
        </w:rPr>
        <w:t>th</w:t>
      </w:r>
      <w:r>
        <w:rPr>
          <w:color w:val="000000" w:themeColor="text1"/>
          <w:sz w:val="22"/>
          <w:szCs w:val="22"/>
        </w:rPr>
        <w:t xml:space="preserve"> April 2025.</w:t>
      </w:r>
    </w:p>
    <w:p w14:paraId="791886E1" w14:textId="6450756D" w:rsidR="003557CB" w:rsidRDefault="003557CB" w:rsidP="003557CB">
      <w:pPr>
        <w:pStyle w:val="Default"/>
        <w:rPr>
          <w:color w:val="000000" w:themeColor="text1"/>
          <w:sz w:val="22"/>
          <w:szCs w:val="22"/>
        </w:rPr>
      </w:pPr>
    </w:p>
    <w:p w14:paraId="55907E65" w14:textId="1547E6E4" w:rsidR="006E54CE" w:rsidRPr="007515BB" w:rsidRDefault="003557CB" w:rsidP="006E54CE">
      <w:pPr>
        <w:pStyle w:val="Default"/>
        <w:rPr>
          <w:color w:val="auto"/>
          <w:sz w:val="22"/>
          <w:szCs w:val="22"/>
        </w:rPr>
      </w:pPr>
      <w:r>
        <w:rPr>
          <w:color w:val="auto"/>
          <w:sz w:val="22"/>
          <w:szCs w:val="22"/>
        </w:rPr>
        <w:t xml:space="preserve">Based on having 462 (more than 250) relevant employees as </w:t>
      </w:r>
      <w:proofErr w:type="gramStart"/>
      <w:r>
        <w:rPr>
          <w:color w:val="auto"/>
          <w:sz w:val="22"/>
          <w:szCs w:val="22"/>
        </w:rPr>
        <w:t>at</w:t>
      </w:r>
      <w:proofErr w:type="gramEnd"/>
      <w:r>
        <w:rPr>
          <w:color w:val="auto"/>
          <w:sz w:val="22"/>
          <w:szCs w:val="22"/>
        </w:rPr>
        <w:t xml:space="preserve"> 5</w:t>
      </w:r>
      <w:r w:rsidRPr="003557CB">
        <w:rPr>
          <w:color w:val="auto"/>
          <w:sz w:val="22"/>
          <w:szCs w:val="22"/>
          <w:vertAlign w:val="superscript"/>
        </w:rPr>
        <w:t>th</w:t>
      </w:r>
      <w:r>
        <w:rPr>
          <w:color w:val="auto"/>
          <w:sz w:val="22"/>
          <w:szCs w:val="22"/>
        </w:rPr>
        <w:t xml:space="preserve"> April 2024, </w:t>
      </w:r>
      <w:r w:rsidR="006E54CE">
        <w:rPr>
          <w:color w:val="auto"/>
          <w:sz w:val="22"/>
          <w:szCs w:val="22"/>
        </w:rPr>
        <w:t xml:space="preserve">Northumbria Primary Care </w:t>
      </w:r>
      <w:r w:rsidR="006E54CE" w:rsidRPr="007515BB">
        <w:rPr>
          <w:color w:val="auto"/>
          <w:sz w:val="22"/>
          <w:szCs w:val="22"/>
        </w:rPr>
        <w:t>(</w:t>
      </w:r>
      <w:r w:rsidR="006E54CE">
        <w:rPr>
          <w:color w:val="auto"/>
          <w:sz w:val="22"/>
          <w:szCs w:val="22"/>
        </w:rPr>
        <w:t>NPC</w:t>
      </w:r>
      <w:r w:rsidR="006E54CE" w:rsidRPr="007515BB">
        <w:rPr>
          <w:color w:val="auto"/>
          <w:sz w:val="22"/>
          <w:szCs w:val="22"/>
        </w:rPr>
        <w:t xml:space="preserve">) is required to carry out Gender Pay Gap (GPG) reporting under the Equality Act 2010 (Gender Pay Gap Information Regulations 2017).  To fulfil this requirement, </w:t>
      </w:r>
      <w:r w:rsidR="006E54CE">
        <w:rPr>
          <w:color w:val="auto"/>
          <w:sz w:val="22"/>
          <w:szCs w:val="22"/>
        </w:rPr>
        <w:t>NPC</w:t>
      </w:r>
      <w:r w:rsidR="006E54CE" w:rsidRPr="007515BB">
        <w:rPr>
          <w:color w:val="auto"/>
          <w:sz w:val="22"/>
          <w:szCs w:val="22"/>
        </w:rPr>
        <w:t xml:space="preserve"> must carry out </w:t>
      </w:r>
      <w:proofErr w:type="gramStart"/>
      <w:r w:rsidR="006E54CE" w:rsidRPr="007515BB">
        <w:rPr>
          <w:color w:val="auto"/>
          <w:sz w:val="22"/>
          <w:szCs w:val="22"/>
        </w:rPr>
        <w:t>a number of</w:t>
      </w:r>
      <w:proofErr w:type="gramEnd"/>
      <w:r w:rsidR="006E54CE" w:rsidRPr="007515BB">
        <w:rPr>
          <w:color w:val="auto"/>
          <w:sz w:val="22"/>
          <w:szCs w:val="22"/>
        </w:rPr>
        <w:t xml:space="preserve"> specific calculations; produce a written statement which confirms the accuracy of the calculations; and publish the information on the UK Government website within one calendar year of the snapshot date at which the gender pay gap is calculated, which this year is 5 April </w:t>
      </w:r>
      <w:r w:rsidR="006E54CE" w:rsidRPr="00875E40">
        <w:rPr>
          <w:color w:val="auto"/>
          <w:sz w:val="22"/>
          <w:szCs w:val="22"/>
        </w:rPr>
        <w:t>202</w:t>
      </w:r>
      <w:r w:rsidR="006E54CE">
        <w:rPr>
          <w:color w:val="auto"/>
          <w:sz w:val="22"/>
          <w:szCs w:val="22"/>
        </w:rPr>
        <w:t>5</w:t>
      </w:r>
      <w:r w:rsidR="006E54CE" w:rsidRPr="007515BB">
        <w:rPr>
          <w:color w:val="auto"/>
          <w:sz w:val="22"/>
          <w:szCs w:val="22"/>
        </w:rPr>
        <w:t xml:space="preserve">. </w:t>
      </w:r>
    </w:p>
    <w:p w14:paraId="6EABC76B" w14:textId="55815D9B" w:rsidR="00AC6FAF" w:rsidRPr="0095441D" w:rsidRDefault="00AC6FAF" w:rsidP="00AC6FAF">
      <w:pPr>
        <w:pStyle w:val="Default"/>
        <w:rPr>
          <w:color w:val="000000" w:themeColor="text1"/>
          <w:sz w:val="22"/>
          <w:szCs w:val="22"/>
        </w:rPr>
      </w:pPr>
    </w:p>
    <w:p w14:paraId="065E1F93" w14:textId="65FF635F" w:rsidR="00E1766B" w:rsidRPr="0095441D" w:rsidRDefault="00E1766B" w:rsidP="00AC6FAF">
      <w:pPr>
        <w:pStyle w:val="Default"/>
        <w:rPr>
          <w:color w:val="000000" w:themeColor="text1"/>
          <w:sz w:val="22"/>
          <w:szCs w:val="22"/>
        </w:rPr>
      </w:pPr>
      <w:r w:rsidRPr="0095441D">
        <w:rPr>
          <w:color w:val="000000" w:themeColor="text1"/>
          <w:sz w:val="22"/>
          <w:szCs w:val="22"/>
        </w:rPr>
        <w:t>All calculations were obtained from the ESR system; these have been nationally determined and are in line with government regulations.</w:t>
      </w:r>
    </w:p>
    <w:p w14:paraId="40CF4C47" w14:textId="77777777" w:rsidR="00E1766B" w:rsidRPr="0095441D" w:rsidRDefault="00E1766B" w:rsidP="00AC6FAF">
      <w:pPr>
        <w:pStyle w:val="Default"/>
        <w:rPr>
          <w:color w:val="000000" w:themeColor="text1"/>
          <w:sz w:val="22"/>
          <w:szCs w:val="22"/>
        </w:rPr>
      </w:pPr>
    </w:p>
    <w:p w14:paraId="727D1CED" w14:textId="76CBE005" w:rsidR="00AC6FAF" w:rsidRPr="0095441D" w:rsidRDefault="00AC6FAF" w:rsidP="00AC6FAF">
      <w:pPr>
        <w:pStyle w:val="Default"/>
        <w:rPr>
          <w:color w:val="000000" w:themeColor="text1"/>
          <w:sz w:val="22"/>
          <w:szCs w:val="22"/>
        </w:rPr>
      </w:pPr>
      <w:r w:rsidRPr="0095441D">
        <w:rPr>
          <w:color w:val="000000" w:themeColor="text1"/>
          <w:sz w:val="22"/>
          <w:szCs w:val="22"/>
        </w:rPr>
        <w:t>The results of the report will be used to assess:</w:t>
      </w:r>
    </w:p>
    <w:p w14:paraId="44CBACEE" w14:textId="77777777" w:rsidR="007743D9" w:rsidRPr="0095441D" w:rsidRDefault="007743D9" w:rsidP="00AC6FAF">
      <w:pPr>
        <w:pStyle w:val="Default"/>
        <w:rPr>
          <w:color w:val="000000" w:themeColor="text1"/>
          <w:sz w:val="22"/>
          <w:szCs w:val="22"/>
        </w:rPr>
      </w:pPr>
    </w:p>
    <w:p w14:paraId="54B5F19D" w14:textId="584F049E" w:rsidR="00AC6FAF" w:rsidRPr="0095441D" w:rsidRDefault="00AC6FAF" w:rsidP="00530CE4">
      <w:pPr>
        <w:pStyle w:val="Default"/>
        <w:numPr>
          <w:ilvl w:val="0"/>
          <w:numId w:val="18"/>
        </w:numPr>
        <w:spacing w:after="30"/>
        <w:rPr>
          <w:color w:val="000000" w:themeColor="text1"/>
          <w:sz w:val="22"/>
          <w:szCs w:val="22"/>
        </w:rPr>
      </w:pPr>
      <w:r w:rsidRPr="0095441D">
        <w:rPr>
          <w:color w:val="000000" w:themeColor="text1"/>
          <w:sz w:val="22"/>
          <w:szCs w:val="22"/>
        </w:rPr>
        <w:t xml:space="preserve">the levels of gender equality in </w:t>
      </w:r>
      <w:r w:rsidR="00530CE4" w:rsidRPr="0095441D">
        <w:rPr>
          <w:color w:val="000000" w:themeColor="text1"/>
          <w:sz w:val="22"/>
          <w:szCs w:val="22"/>
        </w:rPr>
        <w:t>the</w:t>
      </w:r>
      <w:r w:rsidRPr="0095441D">
        <w:rPr>
          <w:color w:val="000000" w:themeColor="text1"/>
          <w:sz w:val="22"/>
          <w:szCs w:val="22"/>
        </w:rPr>
        <w:t xml:space="preserve"> workplace </w:t>
      </w:r>
    </w:p>
    <w:p w14:paraId="6302F4FE" w14:textId="3F34A55F" w:rsidR="00AC6FAF" w:rsidRPr="0095441D" w:rsidRDefault="00AC6FAF" w:rsidP="00530CE4">
      <w:pPr>
        <w:pStyle w:val="Default"/>
        <w:numPr>
          <w:ilvl w:val="0"/>
          <w:numId w:val="18"/>
        </w:numPr>
        <w:spacing w:after="30"/>
        <w:rPr>
          <w:color w:val="000000" w:themeColor="text1"/>
          <w:sz w:val="22"/>
          <w:szCs w:val="22"/>
        </w:rPr>
      </w:pPr>
      <w:r w:rsidRPr="0095441D">
        <w:rPr>
          <w:color w:val="000000" w:themeColor="text1"/>
          <w:sz w:val="22"/>
          <w:szCs w:val="22"/>
        </w:rPr>
        <w:t xml:space="preserve">the balance of male and female employees at different levels </w:t>
      </w:r>
    </w:p>
    <w:p w14:paraId="037D8FC4" w14:textId="61B901A8" w:rsidR="00AC6FAF" w:rsidRDefault="00AC6FAF" w:rsidP="00530CE4">
      <w:pPr>
        <w:pStyle w:val="Default"/>
        <w:numPr>
          <w:ilvl w:val="0"/>
          <w:numId w:val="18"/>
        </w:numPr>
        <w:rPr>
          <w:color w:val="000000" w:themeColor="text1"/>
          <w:sz w:val="22"/>
          <w:szCs w:val="22"/>
        </w:rPr>
      </w:pPr>
      <w:r w:rsidRPr="0095441D">
        <w:rPr>
          <w:color w:val="000000" w:themeColor="text1"/>
          <w:sz w:val="22"/>
          <w:szCs w:val="22"/>
        </w:rPr>
        <w:t>how effectively talent is being maximised and rewarded</w:t>
      </w:r>
    </w:p>
    <w:p w14:paraId="53BB48E8" w14:textId="77777777" w:rsidR="00E1766B" w:rsidRPr="0095441D" w:rsidRDefault="00E1766B" w:rsidP="00E1766B">
      <w:pPr>
        <w:pStyle w:val="Default"/>
        <w:rPr>
          <w:color w:val="000000" w:themeColor="text1"/>
          <w:sz w:val="22"/>
          <w:szCs w:val="22"/>
        </w:rPr>
      </w:pPr>
    </w:p>
    <w:p w14:paraId="2AD52F16" w14:textId="00C3C094" w:rsidR="00530CE4" w:rsidRPr="007860E7" w:rsidRDefault="008D3C62" w:rsidP="00E1766B">
      <w:pPr>
        <w:pStyle w:val="Default"/>
        <w:numPr>
          <w:ilvl w:val="0"/>
          <w:numId w:val="20"/>
        </w:numPr>
        <w:rPr>
          <w:b/>
          <w:bCs/>
          <w:color w:val="000000" w:themeColor="text1"/>
          <w:sz w:val="22"/>
          <w:szCs w:val="22"/>
        </w:rPr>
      </w:pPr>
      <w:r w:rsidRPr="007860E7">
        <w:rPr>
          <w:b/>
          <w:bCs/>
          <w:color w:val="000000" w:themeColor="text1"/>
          <w:sz w:val="22"/>
          <w:szCs w:val="22"/>
        </w:rPr>
        <w:t>Headcount</w:t>
      </w:r>
    </w:p>
    <w:p w14:paraId="2419E2D3" w14:textId="77777777" w:rsidR="008D3C62" w:rsidRPr="007860E7" w:rsidRDefault="008D3C62" w:rsidP="00AC6FAF">
      <w:pPr>
        <w:pStyle w:val="Default"/>
        <w:rPr>
          <w:b/>
          <w:bCs/>
          <w:color w:val="000000" w:themeColor="text1"/>
          <w:sz w:val="22"/>
          <w:szCs w:val="22"/>
        </w:rPr>
      </w:pPr>
    </w:p>
    <w:p w14:paraId="07681156" w14:textId="727E9F06" w:rsidR="003968A4" w:rsidRPr="007860E7" w:rsidRDefault="008D3C62" w:rsidP="00636C08">
      <w:pPr>
        <w:pStyle w:val="Default"/>
        <w:rPr>
          <w:color w:val="000000" w:themeColor="text1"/>
          <w:sz w:val="22"/>
          <w:szCs w:val="22"/>
        </w:rPr>
      </w:pPr>
      <w:r w:rsidRPr="007860E7">
        <w:rPr>
          <w:color w:val="000000" w:themeColor="text1"/>
          <w:sz w:val="22"/>
          <w:szCs w:val="22"/>
        </w:rPr>
        <w:t>As a</w:t>
      </w:r>
      <w:r w:rsidR="00A367A6" w:rsidRPr="007860E7">
        <w:rPr>
          <w:color w:val="000000" w:themeColor="text1"/>
          <w:sz w:val="22"/>
          <w:szCs w:val="22"/>
        </w:rPr>
        <w:t>t</w:t>
      </w:r>
      <w:r w:rsidRPr="007860E7">
        <w:rPr>
          <w:color w:val="000000" w:themeColor="text1"/>
          <w:sz w:val="22"/>
          <w:szCs w:val="22"/>
        </w:rPr>
        <w:t xml:space="preserve"> the </w:t>
      </w:r>
      <w:r w:rsidR="003557CB">
        <w:rPr>
          <w:color w:val="000000" w:themeColor="text1"/>
          <w:sz w:val="22"/>
          <w:szCs w:val="22"/>
        </w:rPr>
        <w:t xml:space="preserve">most recent </w:t>
      </w:r>
      <w:r w:rsidRPr="007860E7">
        <w:rPr>
          <w:color w:val="000000" w:themeColor="text1"/>
          <w:sz w:val="22"/>
          <w:szCs w:val="22"/>
        </w:rPr>
        <w:t xml:space="preserve">snapshot date of </w:t>
      </w:r>
      <w:r w:rsidR="0095441D" w:rsidRPr="007860E7">
        <w:rPr>
          <w:color w:val="000000" w:themeColor="text1"/>
          <w:sz w:val="22"/>
          <w:szCs w:val="22"/>
        </w:rPr>
        <w:t>5 April</w:t>
      </w:r>
      <w:r w:rsidRPr="007860E7">
        <w:rPr>
          <w:color w:val="000000" w:themeColor="text1"/>
          <w:sz w:val="22"/>
          <w:szCs w:val="22"/>
        </w:rPr>
        <w:t xml:space="preserve"> </w:t>
      </w:r>
      <w:r w:rsidR="003D3F89" w:rsidRPr="003D3F89">
        <w:rPr>
          <w:color w:val="000000" w:themeColor="text1"/>
          <w:sz w:val="22"/>
          <w:szCs w:val="22"/>
        </w:rPr>
        <w:t>202</w:t>
      </w:r>
      <w:r w:rsidR="006E54CE">
        <w:rPr>
          <w:color w:val="000000" w:themeColor="text1"/>
          <w:sz w:val="22"/>
          <w:szCs w:val="22"/>
        </w:rPr>
        <w:t>5</w:t>
      </w:r>
      <w:r w:rsidRPr="007860E7">
        <w:rPr>
          <w:color w:val="000000" w:themeColor="text1"/>
          <w:sz w:val="22"/>
          <w:szCs w:val="22"/>
        </w:rPr>
        <w:t xml:space="preserve">, </w:t>
      </w:r>
      <w:r w:rsidR="006C27B1" w:rsidRPr="007860E7">
        <w:rPr>
          <w:color w:val="000000" w:themeColor="text1"/>
          <w:sz w:val="22"/>
          <w:szCs w:val="22"/>
        </w:rPr>
        <w:t>there were</w:t>
      </w:r>
      <w:r w:rsidR="007860E7" w:rsidRPr="007860E7">
        <w:rPr>
          <w:color w:val="000000" w:themeColor="text1"/>
          <w:sz w:val="22"/>
          <w:szCs w:val="22"/>
        </w:rPr>
        <w:t xml:space="preserve"> </w:t>
      </w:r>
      <w:r w:rsidR="006E54CE">
        <w:rPr>
          <w:b/>
          <w:bCs/>
          <w:color w:val="000000" w:themeColor="text1"/>
          <w:sz w:val="22"/>
          <w:szCs w:val="22"/>
        </w:rPr>
        <w:t>481</w:t>
      </w:r>
      <w:r w:rsidR="007860E7" w:rsidRPr="007860E7">
        <w:rPr>
          <w:color w:val="000000" w:themeColor="text1"/>
          <w:sz w:val="22"/>
          <w:szCs w:val="22"/>
        </w:rPr>
        <w:t xml:space="preserve"> </w:t>
      </w:r>
      <w:r w:rsidR="00A367A6" w:rsidRPr="007860E7">
        <w:rPr>
          <w:color w:val="000000" w:themeColor="text1"/>
          <w:sz w:val="22"/>
          <w:szCs w:val="22"/>
        </w:rPr>
        <w:t>employees</w:t>
      </w:r>
      <w:r w:rsidRPr="007860E7">
        <w:rPr>
          <w:color w:val="000000" w:themeColor="text1"/>
          <w:sz w:val="22"/>
          <w:szCs w:val="22"/>
        </w:rPr>
        <w:t xml:space="preserve">, of which </w:t>
      </w:r>
      <w:r w:rsidR="003D3F89">
        <w:rPr>
          <w:b/>
          <w:bCs/>
          <w:color w:val="000000" w:themeColor="text1"/>
          <w:sz w:val="22"/>
          <w:szCs w:val="22"/>
        </w:rPr>
        <w:t>4</w:t>
      </w:r>
      <w:r w:rsidR="006E54CE">
        <w:rPr>
          <w:b/>
          <w:bCs/>
          <w:color w:val="000000" w:themeColor="text1"/>
          <w:sz w:val="22"/>
          <w:szCs w:val="22"/>
        </w:rPr>
        <w:t>56</w:t>
      </w:r>
      <w:r w:rsidRPr="007860E7">
        <w:rPr>
          <w:color w:val="000000" w:themeColor="text1"/>
          <w:sz w:val="22"/>
          <w:szCs w:val="22"/>
        </w:rPr>
        <w:t xml:space="preserve"> were ‘Full Pay Relevant Employees’ and therefore included in the calculations.  A ‘Full Pa</w:t>
      </w:r>
      <w:r w:rsidR="00E1766B" w:rsidRPr="007860E7">
        <w:rPr>
          <w:color w:val="000000" w:themeColor="text1"/>
          <w:sz w:val="22"/>
          <w:szCs w:val="22"/>
        </w:rPr>
        <w:t>y</w:t>
      </w:r>
      <w:r w:rsidRPr="007860E7">
        <w:rPr>
          <w:color w:val="000000" w:themeColor="text1"/>
          <w:sz w:val="22"/>
          <w:szCs w:val="22"/>
        </w:rPr>
        <w:t xml:space="preserve"> Relevant Employee’ is any employee who is paid their usual full basic pay during the relevant pay period</w:t>
      </w:r>
      <w:r w:rsidR="007860E7" w:rsidRPr="007860E7">
        <w:rPr>
          <w:color w:val="000000" w:themeColor="text1"/>
          <w:sz w:val="22"/>
          <w:szCs w:val="22"/>
        </w:rPr>
        <w:t>.</w:t>
      </w:r>
    </w:p>
    <w:p w14:paraId="5D00AD53" w14:textId="77777777" w:rsidR="000E7F8C" w:rsidRPr="007860E7" w:rsidRDefault="000E7F8C" w:rsidP="00636C08">
      <w:pPr>
        <w:pStyle w:val="Default"/>
        <w:rPr>
          <w:color w:val="000000" w:themeColor="text1"/>
          <w:sz w:val="22"/>
          <w:szCs w:val="22"/>
        </w:rPr>
      </w:pPr>
    </w:p>
    <w:p w14:paraId="5D55F880" w14:textId="5820D1C8" w:rsidR="000E7F8C" w:rsidRPr="00466FCE" w:rsidRDefault="000E7F8C" w:rsidP="000E7F8C">
      <w:pPr>
        <w:pStyle w:val="Default"/>
        <w:rPr>
          <w:color w:val="000000" w:themeColor="text1"/>
          <w:sz w:val="22"/>
          <w:szCs w:val="22"/>
        </w:rPr>
      </w:pPr>
      <w:r w:rsidRPr="007860E7">
        <w:rPr>
          <w:color w:val="000000" w:themeColor="text1"/>
          <w:sz w:val="22"/>
          <w:szCs w:val="22"/>
        </w:rPr>
        <w:t xml:space="preserve">Of the </w:t>
      </w:r>
      <w:r w:rsidR="006E54CE" w:rsidRPr="006E54CE">
        <w:rPr>
          <w:b/>
          <w:bCs/>
          <w:color w:val="000000" w:themeColor="text1"/>
          <w:sz w:val="22"/>
          <w:szCs w:val="22"/>
        </w:rPr>
        <w:t>456</w:t>
      </w:r>
      <w:r w:rsidR="007860E7" w:rsidRPr="007860E7">
        <w:rPr>
          <w:color w:val="000000" w:themeColor="text1"/>
          <w:sz w:val="22"/>
          <w:szCs w:val="22"/>
        </w:rPr>
        <w:t xml:space="preserve"> </w:t>
      </w:r>
      <w:r w:rsidRPr="007860E7">
        <w:rPr>
          <w:color w:val="000000" w:themeColor="text1"/>
          <w:sz w:val="22"/>
          <w:szCs w:val="22"/>
        </w:rPr>
        <w:t xml:space="preserve">Full Pay Relevant </w:t>
      </w:r>
      <w:r w:rsidRPr="00466FCE">
        <w:rPr>
          <w:color w:val="000000" w:themeColor="text1"/>
          <w:sz w:val="22"/>
          <w:szCs w:val="22"/>
        </w:rPr>
        <w:t xml:space="preserve">Employees, </w:t>
      </w:r>
      <w:r w:rsidR="003D3F89" w:rsidRPr="00466FCE">
        <w:rPr>
          <w:b/>
          <w:bCs/>
          <w:color w:val="000000" w:themeColor="text1"/>
          <w:sz w:val="22"/>
          <w:szCs w:val="22"/>
        </w:rPr>
        <w:t>39</w:t>
      </w:r>
      <w:r w:rsidR="006E54CE">
        <w:rPr>
          <w:b/>
          <w:bCs/>
          <w:color w:val="000000" w:themeColor="text1"/>
          <w:sz w:val="22"/>
          <w:szCs w:val="22"/>
        </w:rPr>
        <w:t>1</w:t>
      </w:r>
      <w:r w:rsidRPr="00466FCE">
        <w:rPr>
          <w:b/>
          <w:bCs/>
          <w:color w:val="000000" w:themeColor="text1"/>
          <w:sz w:val="22"/>
          <w:szCs w:val="22"/>
        </w:rPr>
        <w:t xml:space="preserve"> (8</w:t>
      </w:r>
      <w:r w:rsidR="003D3F89" w:rsidRPr="00466FCE">
        <w:rPr>
          <w:b/>
          <w:bCs/>
          <w:color w:val="000000" w:themeColor="text1"/>
          <w:sz w:val="22"/>
          <w:szCs w:val="22"/>
        </w:rPr>
        <w:t>5</w:t>
      </w:r>
      <w:r w:rsidRPr="00466FCE">
        <w:rPr>
          <w:b/>
          <w:bCs/>
          <w:color w:val="000000" w:themeColor="text1"/>
          <w:sz w:val="22"/>
          <w:szCs w:val="22"/>
        </w:rPr>
        <w:t>.</w:t>
      </w:r>
      <w:r w:rsidR="006E54CE">
        <w:rPr>
          <w:b/>
          <w:bCs/>
          <w:color w:val="000000" w:themeColor="text1"/>
          <w:sz w:val="22"/>
          <w:szCs w:val="22"/>
        </w:rPr>
        <w:t>75</w:t>
      </w:r>
      <w:r w:rsidRPr="00466FCE">
        <w:rPr>
          <w:b/>
          <w:bCs/>
          <w:color w:val="000000" w:themeColor="text1"/>
          <w:sz w:val="22"/>
          <w:szCs w:val="22"/>
        </w:rPr>
        <w:t>%)</w:t>
      </w:r>
      <w:r w:rsidRPr="00466FCE">
        <w:rPr>
          <w:color w:val="000000" w:themeColor="text1"/>
          <w:sz w:val="22"/>
          <w:szCs w:val="22"/>
        </w:rPr>
        <w:t xml:space="preserve"> were female; </w:t>
      </w:r>
      <w:r w:rsidR="003D3F89" w:rsidRPr="00466FCE">
        <w:rPr>
          <w:b/>
          <w:bCs/>
          <w:color w:val="000000" w:themeColor="text1"/>
          <w:sz w:val="22"/>
          <w:szCs w:val="22"/>
        </w:rPr>
        <w:t>6</w:t>
      </w:r>
      <w:r w:rsidR="006E54CE">
        <w:rPr>
          <w:b/>
          <w:bCs/>
          <w:color w:val="000000" w:themeColor="text1"/>
          <w:sz w:val="22"/>
          <w:szCs w:val="22"/>
        </w:rPr>
        <w:t>5</w:t>
      </w:r>
      <w:r w:rsidRPr="00466FCE">
        <w:rPr>
          <w:b/>
          <w:bCs/>
          <w:color w:val="000000" w:themeColor="text1"/>
          <w:sz w:val="22"/>
          <w:szCs w:val="22"/>
        </w:rPr>
        <w:t xml:space="preserve"> (</w:t>
      </w:r>
      <w:r w:rsidR="003D3F89" w:rsidRPr="00466FCE">
        <w:rPr>
          <w:b/>
          <w:bCs/>
          <w:color w:val="000000" w:themeColor="text1"/>
          <w:sz w:val="22"/>
          <w:szCs w:val="22"/>
        </w:rPr>
        <w:t>14.</w:t>
      </w:r>
      <w:r w:rsidR="006E54CE">
        <w:rPr>
          <w:b/>
          <w:bCs/>
          <w:color w:val="000000" w:themeColor="text1"/>
          <w:sz w:val="22"/>
          <w:szCs w:val="22"/>
        </w:rPr>
        <w:t>25</w:t>
      </w:r>
      <w:r w:rsidRPr="00466FCE">
        <w:rPr>
          <w:b/>
          <w:bCs/>
          <w:color w:val="000000" w:themeColor="text1"/>
          <w:sz w:val="22"/>
          <w:szCs w:val="22"/>
        </w:rPr>
        <w:t>%)</w:t>
      </w:r>
      <w:r w:rsidRPr="00466FCE">
        <w:rPr>
          <w:color w:val="000000" w:themeColor="text1"/>
          <w:sz w:val="22"/>
          <w:szCs w:val="22"/>
        </w:rPr>
        <w:t xml:space="preserve"> were male.</w:t>
      </w:r>
    </w:p>
    <w:p w14:paraId="212AE2EE" w14:textId="7C8A83E0" w:rsidR="00E1766B" w:rsidRPr="00466FCE" w:rsidRDefault="00E1766B" w:rsidP="00E1766B">
      <w:pPr>
        <w:pStyle w:val="Default"/>
        <w:rPr>
          <w:color w:val="000000" w:themeColor="text1"/>
          <w:sz w:val="22"/>
          <w:szCs w:val="22"/>
        </w:rPr>
      </w:pPr>
    </w:p>
    <w:p w14:paraId="29906F9B" w14:textId="4E4D47F7" w:rsidR="000E7F8C" w:rsidRDefault="007860E7" w:rsidP="00E1766B">
      <w:pPr>
        <w:pStyle w:val="Default"/>
        <w:rPr>
          <w:color w:val="000000" w:themeColor="text1"/>
          <w:sz w:val="22"/>
          <w:szCs w:val="22"/>
        </w:rPr>
      </w:pPr>
      <w:r w:rsidRPr="00466FCE">
        <w:rPr>
          <w:color w:val="000000" w:themeColor="text1"/>
          <w:sz w:val="22"/>
          <w:szCs w:val="22"/>
        </w:rPr>
        <w:t xml:space="preserve">Consideration of the employee numbers as </w:t>
      </w:r>
      <w:r w:rsidR="006E54CE" w:rsidRPr="00466FCE">
        <w:rPr>
          <w:color w:val="000000" w:themeColor="text1"/>
          <w:sz w:val="22"/>
          <w:szCs w:val="22"/>
        </w:rPr>
        <w:t>of</w:t>
      </w:r>
      <w:r w:rsidRPr="00466FCE">
        <w:rPr>
          <w:color w:val="000000" w:themeColor="text1"/>
          <w:sz w:val="22"/>
          <w:szCs w:val="22"/>
        </w:rPr>
        <w:t xml:space="preserve"> 5 April </w:t>
      </w:r>
      <w:r w:rsidR="003D3F89" w:rsidRPr="00466FCE">
        <w:rPr>
          <w:color w:val="000000" w:themeColor="text1"/>
          <w:sz w:val="22"/>
          <w:szCs w:val="22"/>
        </w:rPr>
        <w:t>202</w:t>
      </w:r>
      <w:r w:rsidR="006E54CE">
        <w:rPr>
          <w:color w:val="000000" w:themeColor="text1"/>
          <w:sz w:val="22"/>
          <w:szCs w:val="22"/>
        </w:rPr>
        <w:t>4</w:t>
      </w:r>
      <w:r w:rsidRPr="00466FCE">
        <w:rPr>
          <w:color w:val="000000" w:themeColor="text1"/>
          <w:sz w:val="22"/>
          <w:szCs w:val="22"/>
        </w:rPr>
        <w:t xml:space="preserve"> shows that this has remained </w:t>
      </w:r>
      <w:r w:rsidR="006E54CE">
        <w:rPr>
          <w:color w:val="000000" w:themeColor="text1"/>
          <w:sz w:val="22"/>
          <w:szCs w:val="22"/>
        </w:rPr>
        <w:t xml:space="preserve">relatively </w:t>
      </w:r>
      <w:r w:rsidRPr="00466FCE">
        <w:rPr>
          <w:color w:val="000000" w:themeColor="text1"/>
          <w:sz w:val="22"/>
          <w:szCs w:val="22"/>
        </w:rPr>
        <w:t>static (8</w:t>
      </w:r>
      <w:r w:rsidR="006E54CE">
        <w:rPr>
          <w:color w:val="000000" w:themeColor="text1"/>
          <w:sz w:val="22"/>
          <w:szCs w:val="22"/>
        </w:rPr>
        <w:t>5</w:t>
      </w:r>
      <w:r w:rsidRPr="00466FCE">
        <w:rPr>
          <w:color w:val="000000" w:themeColor="text1"/>
          <w:sz w:val="22"/>
          <w:szCs w:val="22"/>
        </w:rPr>
        <w:t>.</w:t>
      </w:r>
      <w:r w:rsidR="006E54CE">
        <w:rPr>
          <w:color w:val="000000" w:themeColor="text1"/>
          <w:sz w:val="22"/>
          <w:szCs w:val="22"/>
        </w:rPr>
        <w:t>28</w:t>
      </w:r>
      <w:r w:rsidRPr="00466FCE">
        <w:rPr>
          <w:color w:val="000000" w:themeColor="text1"/>
          <w:sz w:val="22"/>
          <w:szCs w:val="22"/>
        </w:rPr>
        <w:t>% of full pay relevant employees were female, 1</w:t>
      </w:r>
      <w:r w:rsidR="006E54CE">
        <w:rPr>
          <w:color w:val="000000" w:themeColor="text1"/>
          <w:sz w:val="22"/>
          <w:szCs w:val="22"/>
        </w:rPr>
        <w:t>4</w:t>
      </w:r>
      <w:r w:rsidRPr="00466FCE">
        <w:rPr>
          <w:color w:val="000000" w:themeColor="text1"/>
          <w:sz w:val="22"/>
          <w:szCs w:val="22"/>
        </w:rPr>
        <w:t>.</w:t>
      </w:r>
      <w:r w:rsidR="006E54CE">
        <w:rPr>
          <w:color w:val="000000" w:themeColor="text1"/>
          <w:sz w:val="22"/>
          <w:szCs w:val="22"/>
        </w:rPr>
        <w:t>72</w:t>
      </w:r>
      <w:r w:rsidRPr="00466FCE">
        <w:rPr>
          <w:color w:val="000000" w:themeColor="text1"/>
          <w:sz w:val="22"/>
          <w:szCs w:val="22"/>
        </w:rPr>
        <w:t>% male)</w:t>
      </w:r>
    </w:p>
    <w:p w14:paraId="4A7BA850" w14:textId="77777777" w:rsidR="00786A41" w:rsidRDefault="00786A41" w:rsidP="00E1766B">
      <w:pPr>
        <w:pStyle w:val="Default"/>
        <w:rPr>
          <w:color w:val="000000" w:themeColor="text1"/>
          <w:sz w:val="22"/>
          <w:szCs w:val="22"/>
        </w:rPr>
      </w:pPr>
    </w:p>
    <w:p w14:paraId="40FB56E2" w14:textId="2A6FCC1C" w:rsidR="00786A41" w:rsidRPr="007860E7" w:rsidRDefault="00786A41" w:rsidP="00E1766B">
      <w:pPr>
        <w:pStyle w:val="Default"/>
        <w:rPr>
          <w:color w:val="000000" w:themeColor="text1"/>
          <w:sz w:val="22"/>
          <w:szCs w:val="22"/>
        </w:rPr>
      </w:pPr>
      <w:r>
        <w:rPr>
          <w:color w:val="000000" w:themeColor="text1"/>
          <w:sz w:val="22"/>
          <w:szCs w:val="22"/>
        </w:rPr>
        <w:t>It should be noted that due to the</w:t>
      </w:r>
      <w:r w:rsidR="00C3767C">
        <w:rPr>
          <w:color w:val="000000" w:themeColor="text1"/>
          <w:sz w:val="22"/>
          <w:szCs w:val="22"/>
        </w:rPr>
        <w:t xml:space="preserve"> low headcount</w:t>
      </w:r>
      <w:r>
        <w:rPr>
          <w:color w:val="000000" w:themeColor="text1"/>
          <w:sz w:val="22"/>
          <w:szCs w:val="22"/>
        </w:rPr>
        <w:t xml:space="preserve">, small changes in </w:t>
      </w:r>
      <w:r w:rsidR="00C3767C">
        <w:rPr>
          <w:color w:val="000000" w:themeColor="text1"/>
          <w:sz w:val="22"/>
          <w:szCs w:val="22"/>
        </w:rPr>
        <w:t xml:space="preserve">the number of employees in a particular category </w:t>
      </w:r>
      <w:r>
        <w:rPr>
          <w:color w:val="000000" w:themeColor="text1"/>
          <w:sz w:val="22"/>
          <w:szCs w:val="22"/>
        </w:rPr>
        <w:t xml:space="preserve"> can have a significant impact on the percentages.</w:t>
      </w:r>
    </w:p>
    <w:p w14:paraId="5519179F" w14:textId="4C63C077" w:rsidR="00583425" w:rsidRDefault="00583425">
      <w:pPr>
        <w:rPr>
          <w:color w:val="000000" w:themeColor="text1"/>
        </w:rPr>
      </w:pPr>
      <w:r w:rsidRPr="007860E7">
        <w:rPr>
          <w:color w:val="000000" w:themeColor="text1"/>
        </w:rPr>
        <w:br w:type="page"/>
      </w:r>
    </w:p>
    <w:p w14:paraId="5A0A57E8" w14:textId="77777777" w:rsidR="00786A41" w:rsidRPr="007860E7" w:rsidRDefault="00786A41">
      <w:pPr>
        <w:rPr>
          <w:rFonts w:ascii="Calibri" w:hAnsi="Calibri" w:cs="Calibri"/>
          <w:color w:val="000000" w:themeColor="text1"/>
        </w:rPr>
      </w:pPr>
    </w:p>
    <w:p w14:paraId="5EBC6172" w14:textId="4756FF99" w:rsidR="00EA4C05" w:rsidRPr="003C0D49" w:rsidRDefault="002E085F" w:rsidP="00636C08">
      <w:pPr>
        <w:pStyle w:val="Default"/>
        <w:numPr>
          <w:ilvl w:val="0"/>
          <w:numId w:val="20"/>
        </w:numPr>
        <w:rPr>
          <w:b/>
          <w:bCs/>
          <w:color w:val="000000" w:themeColor="text1"/>
          <w:sz w:val="22"/>
          <w:szCs w:val="22"/>
        </w:rPr>
      </w:pPr>
      <w:r w:rsidRPr="0095441D">
        <w:rPr>
          <w:b/>
          <w:bCs/>
          <w:color w:val="FF0000"/>
        </w:rPr>
        <w:t xml:space="preserve"> </w:t>
      </w:r>
      <w:r w:rsidRPr="003C0D49">
        <w:rPr>
          <w:b/>
          <w:bCs/>
          <w:color w:val="000000" w:themeColor="text1"/>
        </w:rPr>
        <w:t xml:space="preserve">Calculations </w:t>
      </w:r>
    </w:p>
    <w:p w14:paraId="50102782" w14:textId="77777777" w:rsidR="00636C08" w:rsidRPr="003C0D49" w:rsidRDefault="00636C08" w:rsidP="003557CB">
      <w:pPr>
        <w:pStyle w:val="Default"/>
        <w:rPr>
          <w:b/>
          <w:bCs/>
          <w:color w:val="000000" w:themeColor="text1"/>
          <w:sz w:val="22"/>
          <w:szCs w:val="22"/>
        </w:rPr>
      </w:pPr>
    </w:p>
    <w:p w14:paraId="5BCB45AE" w14:textId="2ED1D365" w:rsidR="002E085F" w:rsidRPr="003C0D49" w:rsidRDefault="00636C08" w:rsidP="00636C08">
      <w:pPr>
        <w:pStyle w:val="Default"/>
        <w:numPr>
          <w:ilvl w:val="1"/>
          <w:numId w:val="20"/>
        </w:numPr>
        <w:rPr>
          <w:b/>
          <w:bCs/>
          <w:color w:val="000000" w:themeColor="text1"/>
          <w:sz w:val="22"/>
          <w:szCs w:val="22"/>
        </w:rPr>
      </w:pPr>
      <w:r w:rsidRPr="003C0D49">
        <w:rPr>
          <w:b/>
          <w:bCs/>
          <w:color w:val="000000" w:themeColor="text1"/>
          <w:sz w:val="22"/>
          <w:szCs w:val="22"/>
        </w:rPr>
        <w:t>Mean Hourly Rate</w:t>
      </w:r>
    </w:p>
    <w:p w14:paraId="51F98402" w14:textId="77777777" w:rsidR="00B612A1" w:rsidRPr="003C0D49" w:rsidRDefault="00B612A1" w:rsidP="00EA4C05">
      <w:pPr>
        <w:pStyle w:val="Default"/>
        <w:rPr>
          <w:color w:val="000000" w:themeColor="text1"/>
          <w:sz w:val="22"/>
          <w:szCs w:val="22"/>
        </w:rPr>
      </w:pPr>
    </w:p>
    <w:p w14:paraId="7BF33E88" w14:textId="183C0787" w:rsidR="00EA4C05" w:rsidRPr="003C0D49" w:rsidRDefault="002C42A5" w:rsidP="00636C08">
      <w:pPr>
        <w:pStyle w:val="Default"/>
        <w:rPr>
          <w:color w:val="000000" w:themeColor="text1"/>
          <w:sz w:val="22"/>
          <w:szCs w:val="22"/>
        </w:rPr>
      </w:pPr>
      <w:r w:rsidRPr="003C0D49">
        <w:rPr>
          <w:color w:val="000000" w:themeColor="text1"/>
          <w:sz w:val="22"/>
          <w:szCs w:val="22"/>
        </w:rPr>
        <w:t xml:space="preserve">To calculate the mean hourly rates the earnings of male Full Pay Relevant employees are totalled and divided by the number </w:t>
      </w:r>
      <w:r w:rsidR="00B612A1" w:rsidRPr="003C0D49">
        <w:rPr>
          <w:color w:val="000000" w:themeColor="text1"/>
          <w:sz w:val="22"/>
          <w:szCs w:val="22"/>
        </w:rPr>
        <w:t>of such male employees.  The same calculation is then made for female employees.</w:t>
      </w:r>
    </w:p>
    <w:p w14:paraId="7D0732FD" w14:textId="77777777" w:rsidR="00B612A1" w:rsidRPr="003C0D49" w:rsidRDefault="00B612A1" w:rsidP="00EA4C05">
      <w:pPr>
        <w:pStyle w:val="Default"/>
        <w:rPr>
          <w:color w:val="000000" w:themeColor="text1"/>
          <w:sz w:val="22"/>
          <w:szCs w:val="22"/>
        </w:rPr>
      </w:pPr>
    </w:p>
    <w:p w14:paraId="435CE2F9" w14:textId="5C3724BE" w:rsidR="00697A14" w:rsidRPr="003C0D49" w:rsidRDefault="00697A14" w:rsidP="00636C08">
      <w:pPr>
        <w:pStyle w:val="Default"/>
        <w:numPr>
          <w:ilvl w:val="1"/>
          <w:numId w:val="20"/>
        </w:numPr>
        <w:rPr>
          <w:b/>
          <w:bCs/>
          <w:color w:val="000000" w:themeColor="text1"/>
          <w:sz w:val="22"/>
          <w:szCs w:val="22"/>
        </w:rPr>
      </w:pPr>
      <w:r w:rsidRPr="003C0D49">
        <w:rPr>
          <w:b/>
          <w:bCs/>
          <w:color w:val="000000" w:themeColor="text1"/>
        </w:rPr>
        <w:t>Median</w:t>
      </w:r>
      <w:r w:rsidRPr="003C0D49">
        <w:rPr>
          <w:b/>
          <w:bCs/>
          <w:color w:val="000000" w:themeColor="text1"/>
          <w:sz w:val="22"/>
          <w:szCs w:val="22"/>
        </w:rPr>
        <w:t xml:space="preserve"> Hourly Rate</w:t>
      </w:r>
    </w:p>
    <w:p w14:paraId="513F52F4" w14:textId="77777777" w:rsidR="00697A14" w:rsidRPr="003C0D49" w:rsidRDefault="00697A14" w:rsidP="00697A14">
      <w:pPr>
        <w:pStyle w:val="Default"/>
        <w:ind w:left="360"/>
        <w:rPr>
          <w:color w:val="000000" w:themeColor="text1"/>
          <w:sz w:val="22"/>
          <w:szCs w:val="22"/>
        </w:rPr>
      </w:pPr>
    </w:p>
    <w:p w14:paraId="087DC442" w14:textId="0BA9AF6F" w:rsidR="00697A14" w:rsidRPr="003C0D49" w:rsidRDefault="00765A9D" w:rsidP="00697A14">
      <w:pPr>
        <w:pStyle w:val="Default"/>
        <w:rPr>
          <w:color w:val="000000" w:themeColor="text1"/>
          <w:sz w:val="22"/>
          <w:szCs w:val="22"/>
        </w:rPr>
      </w:pPr>
      <w:r w:rsidRPr="003C0D49">
        <w:rPr>
          <w:color w:val="000000" w:themeColor="text1"/>
          <w:sz w:val="22"/>
          <w:szCs w:val="22"/>
        </w:rPr>
        <w:t xml:space="preserve">This is calculated </w:t>
      </w:r>
      <w:r w:rsidR="009E57D7" w:rsidRPr="003C0D49">
        <w:rPr>
          <w:color w:val="000000" w:themeColor="text1"/>
          <w:sz w:val="22"/>
          <w:szCs w:val="22"/>
        </w:rPr>
        <w:t>as</w:t>
      </w:r>
      <w:r w:rsidR="00336AB6" w:rsidRPr="003C0D49">
        <w:rPr>
          <w:color w:val="000000" w:themeColor="text1"/>
          <w:sz w:val="22"/>
          <w:szCs w:val="22"/>
        </w:rPr>
        <w:t xml:space="preserve"> the mid-point of the salary distribution </w:t>
      </w:r>
      <w:r w:rsidRPr="003C0D49">
        <w:rPr>
          <w:color w:val="000000" w:themeColor="text1"/>
          <w:sz w:val="22"/>
          <w:szCs w:val="22"/>
        </w:rPr>
        <w:t xml:space="preserve">using the pay each employee received within the snapshot period of the month including </w:t>
      </w:r>
      <w:r w:rsidR="003C0D49" w:rsidRPr="003C0D49">
        <w:rPr>
          <w:color w:val="000000" w:themeColor="text1"/>
          <w:sz w:val="22"/>
          <w:szCs w:val="22"/>
        </w:rPr>
        <w:t xml:space="preserve">5 April </w:t>
      </w:r>
      <w:r w:rsidR="003D3F89" w:rsidRPr="00466FCE">
        <w:rPr>
          <w:color w:val="000000" w:themeColor="text1"/>
          <w:sz w:val="22"/>
          <w:szCs w:val="22"/>
        </w:rPr>
        <w:t>2024</w:t>
      </w:r>
      <w:r w:rsidRPr="003C0D49">
        <w:rPr>
          <w:color w:val="000000" w:themeColor="text1"/>
          <w:sz w:val="22"/>
          <w:szCs w:val="22"/>
        </w:rPr>
        <w:t xml:space="preserve">.  </w:t>
      </w:r>
      <w:r w:rsidR="00697A14" w:rsidRPr="003C0D49">
        <w:rPr>
          <w:color w:val="000000" w:themeColor="text1"/>
          <w:sz w:val="22"/>
          <w:szCs w:val="22"/>
        </w:rPr>
        <w:t>For this calculation “actual pay” is used which includes basic pay, allowances, pay for leave, and shift premium pay.  It is important to note that any employee who is in a period of no pay (</w:t>
      </w:r>
      <w:r w:rsidR="00AB53A7" w:rsidRPr="003C0D49">
        <w:rPr>
          <w:color w:val="000000" w:themeColor="text1"/>
          <w:sz w:val="22"/>
          <w:szCs w:val="22"/>
        </w:rPr>
        <w:t xml:space="preserve">.g. </w:t>
      </w:r>
      <w:r w:rsidR="00697A14" w:rsidRPr="003C0D49">
        <w:rPr>
          <w:color w:val="000000" w:themeColor="text1"/>
          <w:sz w:val="22"/>
          <w:szCs w:val="22"/>
        </w:rPr>
        <w:t>maternity leave, sickness, special leave) will not appear in the figures where this pay value is below the average</w:t>
      </w:r>
      <w:r w:rsidR="00A21BDA" w:rsidRPr="003C0D49">
        <w:rPr>
          <w:color w:val="000000" w:themeColor="text1"/>
          <w:sz w:val="22"/>
          <w:szCs w:val="22"/>
        </w:rPr>
        <w:t xml:space="preserve"> monthly</w:t>
      </w:r>
      <w:r w:rsidR="00697A14" w:rsidRPr="003C0D49">
        <w:rPr>
          <w:color w:val="000000" w:themeColor="text1"/>
          <w:sz w:val="22"/>
          <w:szCs w:val="22"/>
        </w:rPr>
        <w:t xml:space="preserve"> value each individual is paid</w:t>
      </w:r>
      <w:r w:rsidR="009B1878" w:rsidRPr="003C0D49">
        <w:rPr>
          <w:color w:val="000000" w:themeColor="text1"/>
          <w:sz w:val="22"/>
          <w:szCs w:val="22"/>
        </w:rPr>
        <w:t>.</w:t>
      </w:r>
    </w:p>
    <w:p w14:paraId="454FE58D" w14:textId="77777777" w:rsidR="00EA4C05" w:rsidRPr="003C0D49" w:rsidRDefault="00EA4C05" w:rsidP="00697A14">
      <w:pPr>
        <w:pStyle w:val="Default"/>
        <w:rPr>
          <w:color w:val="000000" w:themeColor="text1"/>
          <w:sz w:val="22"/>
          <w:szCs w:val="22"/>
        </w:rPr>
      </w:pPr>
    </w:p>
    <w:p w14:paraId="2DB9B8FD" w14:textId="77777777" w:rsidR="002E085F" w:rsidRPr="003C0D49" w:rsidRDefault="00EA4C05" w:rsidP="00EA4C05">
      <w:pPr>
        <w:pStyle w:val="Default"/>
        <w:rPr>
          <w:color w:val="000000" w:themeColor="text1"/>
          <w:sz w:val="22"/>
          <w:szCs w:val="22"/>
        </w:rPr>
      </w:pPr>
      <w:r w:rsidRPr="003C0D49">
        <w:rPr>
          <w:color w:val="000000" w:themeColor="text1"/>
          <w:sz w:val="22"/>
          <w:szCs w:val="22"/>
        </w:rPr>
        <w:t xml:space="preserve">The median calculation is used as a comparator to the mean as it is not skewed by small numbers of very highly paid individuals, which results in lower overall values for each of the metrics calculated. </w:t>
      </w:r>
    </w:p>
    <w:p w14:paraId="686260D3" w14:textId="77777777" w:rsidR="00636C08" w:rsidRPr="003C0D49" w:rsidRDefault="00636C08" w:rsidP="00EA4C05">
      <w:pPr>
        <w:pStyle w:val="Default"/>
        <w:rPr>
          <w:color w:val="000000" w:themeColor="text1"/>
          <w:sz w:val="22"/>
          <w:szCs w:val="22"/>
        </w:rPr>
      </w:pPr>
    </w:p>
    <w:p w14:paraId="4E9B8437" w14:textId="64932A37" w:rsidR="00636C08" w:rsidRPr="003C0D49" w:rsidRDefault="00636C08" w:rsidP="00636C08">
      <w:pPr>
        <w:pStyle w:val="Default"/>
        <w:numPr>
          <w:ilvl w:val="1"/>
          <w:numId w:val="20"/>
        </w:numPr>
        <w:rPr>
          <w:b/>
          <w:bCs/>
          <w:color w:val="000000" w:themeColor="text1"/>
          <w:sz w:val="22"/>
          <w:szCs w:val="22"/>
        </w:rPr>
      </w:pPr>
      <w:r w:rsidRPr="003C0D49">
        <w:rPr>
          <w:b/>
          <w:bCs/>
          <w:color w:val="000000" w:themeColor="text1"/>
          <w:sz w:val="22"/>
          <w:szCs w:val="22"/>
        </w:rPr>
        <w:t>Bonus Pay</w:t>
      </w:r>
    </w:p>
    <w:p w14:paraId="6F058248" w14:textId="77777777" w:rsidR="00C3767C" w:rsidRDefault="00C3767C" w:rsidP="00C3767C">
      <w:pPr>
        <w:pStyle w:val="Default"/>
        <w:ind w:left="360"/>
        <w:rPr>
          <w:color w:val="auto"/>
          <w:sz w:val="22"/>
          <w:szCs w:val="22"/>
        </w:rPr>
      </w:pPr>
    </w:p>
    <w:p w14:paraId="7F553436" w14:textId="312B6C8C" w:rsidR="00C3767C" w:rsidRPr="00012539" w:rsidRDefault="00466FCE" w:rsidP="00C3767C">
      <w:pPr>
        <w:pStyle w:val="Default"/>
        <w:rPr>
          <w:color w:val="auto"/>
          <w:sz w:val="22"/>
          <w:szCs w:val="22"/>
        </w:rPr>
      </w:pPr>
      <w:r>
        <w:rPr>
          <w:color w:val="auto"/>
          <w:sz w:val="22"/>
          <w:szCs w:val="22"/>
        </w:rPr>
        <w:t>There was no bonus pay this year</w:t>
      </w:r>
    </w:p>
    <w:p w14:paraId="7773751D" w14:textId="2C1A4BD1" w:rsidR="00A1565F" w:rsidRPr="00012D91" w:rsidRDefault="00A1565F" w:rsidP="00A1565F">
      <w:pPr>
        <w:pStyle w:val="Default"/>
        <w:rPr>
          <w:color w:val="auto"/>
          <w:sz w:val="22"/>
          <w:szCs w:val="22"/>
        </w:rPr>
      </w:pPr>
    </w:p>
    <w:p w14:paraId="3C52D795" w14:textId="2D3B0926" w:rsidR="002E085F" w:rsidRPr="00012D91" w:rsidRDefault="002E085F" w:rsidP="00636C08">
      <w:pPr>
        <w:pStyle w:val="Default"/>
        <w:numPr>
          <w:ilvl w:val="1"/>
          <w:numId w:val="20"/>
        </w:numPr>
        <w:rPr>
          <w:b/>
          <w:bCs/>
          <w:color w:val="auto"/>
          <w:sz w:val="22"/>
          <w:szCs w:val="22"/>
        </w:rPr>
      </w:pPr>
      <w:r w:rsidRPr="00012D91">
        <w:rPr>
          <w:b/>
          <w:bCs/>
          <w:color w:val="auto"/>
          <w:sz w:val="22"/>
          <w:szCs w:val="22"/>
        </w:rPr>
        <w:t>Pay Gap</w:t>
      </w:r>
    </w:p>
    <w:p w14:paraId="5EF747AB" w14:textId="45B0C656" w:rsidR="00636C08" w:rsidRPr="00012D91" w:rsidRDefault="00636C08" w:rsidP="00636C08">
      <w:pPr>
        <w:pStyle w:val="Default"/>
        <w:rPr>
          <w:color w:val="auto"/>
          <w:sz w:val="22"/>
          <w:szCs w:val="22"/>
        </w:rPr>
      </w:pPr>
      <w:r w:rsidRPr="00012D91">
        <w:rPr>
          <w:color w:val="auto"/>
          <w:sz w:val="22"/>
          <w:szCs w:val="22"/>
        </w:rPr>
        <w:t>This is the difference between the rates for Males and Females.</w:t>
      </w:r>
    </w:p>
    <w:p w14:paraId="3EDA89BC" w14:textId="77777777" w:rsidR="002E085F" w:rsidRPr="00012D91" w:rsidRDefault="002E085F" w:rsidP="002E085F">
      <w:pPr>
        <w:pStyle w:val="Default"/>
        <w:rPr>
          <w:b/>
          <w:bCs/>
          <w:color w:val="auto"/>
          <w:sz w:val="22"/>
          <w:szCs w:val="22"/>
        </w:rPr>
      </w:pPr>
    </w:p>
    <w:p w14:paraId="51A396FC" w14:textId="51D342BB" w:rsidR="00636C08" w:rsidRPr="00012D91" w:rsidRDefault="00636C08" w:rsidP="00636C08">
      <w:pPr>
        <w:pStyle w:val="Default"/>
        <w:rPr>
          <w:b/>
          <w:bCs/>
          <w:color w:val="auto"/>
          <w:sz w:val="22"/>
          <w:szCs w:val="22"/>
        </w:rPr>
      </w:pPr>
      <w:r w:rsidRPr="00012D91">
        <w:rPr>
          <w:b/>
          <w:bCs/>
          <w:color w:val="auto"/>
          <w:sz w:val="22"/>
          <w:szCs w:val="22"/>
        </w:rPr>
        <w:t xml:space="preserve">NOTE – The Gender Pay Gap is expressed as a percentage of men’s earnings, </w:t>
      </w:r>
      <w:r w:rsidR="006073A4" w:rsidRPr="00012D91">
        <w:rPr>
          <w:b/>
          <w:bCs/>
          <w:color w:val="auto"/>
          <w:sz w:val="22"/>
          <w:szCs w:val="22"/>
        </w:rPr>
        <w:t>e.g.</w:t>
      </w:r>
      <w:r w:rsidRPr="00012D91">
        <w:rPr>
          <w:b/>
          <w:bCs/>
          <w:color w:val="auto"/>
          <w:sz w:val="22"/>
          <w:szCs w:val="22"/>
        </w:rPr>
        <w:t xml:space="preserve"> a GPG of 10% would mean that women earn 10% less than men.</w:t>
      </w:r>
    </w:p>
    <w:p w14:paraId="1EB621A0" w14:textId="3508F392" w:rsidR="00583425" w:rsidRPr="000D5F48" w:rsidRDefault="00636C08" w:rsidP="000D5F48">
      <w:pPr>
        <w:pStyle w:val="Default"/>
        <w:rPr>
          <w:b/>
          <w:bCs/>
          <w:color w:val="FF0000"/>
          <w:sz w:val="22"/>
          <w:szCs w:val="22"/>
        </w:rPr>
      </w:pPr>
      <w:r w:rsidRPr="0095441D">
        <w:rPr>
          <w:b/>
          <w:bCs/>
          <w:color w:val="FF0000"/>
          <w:sz w:val="22"/>
          <w:szCs w:val="22"/>
        </w:rPr>
        <w:t xml:space="preserve"> </w:t>
      </w:r>
    </w:p>
    <w:p w14:paraId="6F5B216F" w14:textId="32EF3AF9" w:rsidR="00636C08" w:rsidRPr="00693825" w:rsidRDefault="00636C08" w:rsidP="008A2B0C">
      <w:pPr>
        <w:pStyle w:val="Default"/>
        <w:rPr>
          <w:b/>
          <w:bCs/>
          <w:color w:val="auto"/>
          <w:sz w:val="22"/>
          <w:szCs w:val="22"/>
        </w:rPr>
      </w:pPr>
      <w:r w:rsidRPr="00693825">
        <w:rPr>
          <w:b/>
          <w:bCs/>
          <w:color w:val="auto"/>
          <w:sz w:val="22"/>
          <w:szCs w:val="22"/>
        </w:rPr>
        <w:t>Results</w:t>
      </w:r>
    </w:p>
    <w:p w14:paraId="56123375" w14:textId="77777777" w:rsidR="00A1565F" w:rsidRPr="00693825" w:rsidRDefault="00A1565F" w:rsidP="00A1565F">
      <w:pPr>
        <w:pStyle w:val="Default"/>
        <w:rPr>
          <w:b/>
          <w:bCs/>
          <w:color w:val="auto"/>
          <w:sz w:val="22"/>
          <w:szCs w:val="22"/>
        </w:rPr>
      </w:pPr>
    </w:p>
    <w:p w14:paraId="09F0F783" w14:textId="3C738CD8" w:rsidR="00A1565F" w:rsidRPr="00693825" w:rsidRDefault="00A1565F" w:rsidP="00A1565F">
      <w:pPr>
        <w:pStyle w:val="Default"/>
        <w:rPr>
          <w:b/>
          <w:bCs/>
          <w:color w:val="auto"/>
          <w:sz w:val="22"/>
          <w:szCs w:val="22"/>
        </w:rPr>
      </w:pPr>
      <w:r w:rsidRPr="00693825">
        <w:rPr>
          <w:b/>
          <w:bCs/>
          <w:color w:val="auto"/>
          <w:sz w:val="22"/>
          <w:szCs w:val="22"/>
        </w:rPr>
        <w:t>4.1  Ordinary Pay</w:t>
      </w:r>
    </w:p>
    <w:p w14:paraId="4601FB96" w14:textId="77777777" w:rsidR="003303EF" w:rsidRPr="00693825" w:rsidRDefault="003303EF" w:rsidP="003303EF">
      <w:pPr>
        <w:pStyle w:val="Default"/>
        <w:ind w:left="360"/>
        <w:rPr>
          <w:color w:val="auto"/>
          <w:sz w:val="22"/>
          <w:szCs w:val="22"/>
        </w:rPr>
      </w:pPr>
    </w:p>
    <w:p w14:paraId="45603930" w14:textId="6E06C3AD" w:rsidR="00EA4C05" w:rsidRPr="00693825" w:rsidRDefault="00EA4C05" w:rsidP="009B1878">
      <w:pPr>
        <w:pStyle w:val="Default"/>
        <w:rPr>
          <w:color w:val="auto"/>
          <w:sz w:val="22"/>
          <w:szCs w:val="22"/>
        </w:rPr>
      </w:pPr>
      <w:r w:rsidRPr="00693825">
        <w:rPr>
          <w:color w:val="auto"/>
          <w:sz w:val="22"/>
          <w:szCs w:val="22"/>
        </w:rPr>
        <w:t>T</w:t>
      </w:r>
      <w:r w:rsidR="00B612A1" w:rsidRPr="00693825">
        <w:rPr>
          <w:color w:val="auto"/>
          <w:sz w:val="22"/>
          <w:szCs w:val="22"/>
        </w:rPr>
        <w:t>able 1 (below)</w:t>
      </w:r>
      <w:r w:rsidRPr="00693825">
        <w:rPr>
          <w:color w:val="auto"/>
          <w:sz w:val="22"/>
          <w:szCs w:val="22"/>
        </w:rPr>
        <w:t xml:space="preserve"> shows the me</w:t>
      </w:r>
      <w:r w:rsidR="00C201FF">
        <w:rPr>
          <w:color w:val="auto"/>
          <w:sz w:val="22"/>
          <w:szCs w:val="22"/>
        </w:rPr>
        <w:t>an</w:t>
      </w:r>
      <w:r w:rsidRPr="00693825">
        <w:rPr>
          <w:color w:val="auto"/>
          <w:sz w:val="22"/>
          <w:szCs w:val="22"/>
        </w:rPr>
        <w:t xml:space="preserve"> and me</w:t>
      </w:r>
      <w:r w:rsidR="00C201FF">
        <w:rPr>
          <w:color w:val="auto"/>
          <w:sz w:val="22"/>
          <w:szCs w:val="22"/>
        </w:rPr>
        <w:t>di</w:t>
      </w:r>
      <w:r w:rsidRPr="00693825">
        <w:rPr>
          <w:color w:val="auto"/>
          <w:sz w:val="22"/>
          <w:szCs w:val="22"/>
        </w:rPr>
        <w:t>an hourly rates</w:t>
      </w:r>
      <w:r w:rsidR="002C42A5" w:rsidRPr="00693825">
        <w:rPr>
          <w:color w:val="auto"/>
          <w:sz w:val="22"/>
          <w:szCs w:val="22"/>
        </w:rPr>
        <w:t xml:space="preserve">, the male/female difference and the GPG for </w:t>
      </w:r>
      <w:r w:rsidR="003D3F89" w:rsidRPr="00466FCE">
        <w:rPr>
          <w:color w:val="auto"/>
          <w:sz w:val="22"/>
          <w:szCs w:val="22"/>
        </w:rPr>
        <w:t>202</w:t>
      </w:r>
      <w:r w:rsidR="006E54CE">
        <w:rPr>
          <w:color w:val="auto"/>
          <w:sz w:val="22"/>
          <w:szCs w:val="22"/>
        </w:rPr>
        <w:t>5</w:t>
      </w:r>
      <w:r w:rsidR="002C42A5" w:rsidRPr="00466FCE">
        <w:rPr>
          <w:color w:val="auto"/>
          <w:sz w:val="22"/>
          <w:szCs w:val="22"/>
        </w:rPr>
        <w:t xml:space="preserve">; the figures for </w:t>
      </w:r>
      <w:r w:rsidR="003D3F89" w:rsidRPr="00466FCE">
        <w:rPr>
          <w:color w:val="auto"/>
          <w:sz w:val="22"/>
          <w:szCs w:val="22"/>
        </w:rPr>
        <w:t>202</w:t>
      </w:r>
      <w:r w:rsidR="006E54CE">
        <w:rPr>
          <w:color w:val="auto"/>
          <w:sz w:val="22"/>
          <w:szCs w:val="22"/>
        </w:rPr>
        <w:t>4</w:t>
      </w:r>
      <w:r w:rsidR="002C42A5" w:rsidRPr="00466FCE">
        <w:rPr>
          <w:color w:val="auto"/>
          <w:sz w:val="22"/>
          <w:szCs w:val="22"/>
        </w:rPr>
        <w:t xml:space="preserve">; and the differences to the </w:t>
      </w:r>
      <w:r w:rsidR="003D3F89" w:rsidRPr="00466FCE">
        <w:rPr>
          <w:color w:val="auto"/>
          <w:sz w:val="22"/>
          <w:szCs w:val="22"/>
        </w:rPr>
        <w:t>202</w:t>
      </w:r>
      <w:r w:rsidR="006E54CE">
        <w:rPr>
          <w:color w:val="auto"/>
          <w:sz w:val="22"/>
          <w:szCs w:val="22"/>
        </w:rPr>
        <w:t>4</w:t>
      </w:r>
      <w:r w:rsidR="002C42A5" w:rsidRPr="00466FCE">
        <w:rPr>
          <w:color w:val="auto"/>
          <w:sz w:val="22"/>
          <w:szCs w:val="22"/>
        </w:rPr>
        <w:t xml:space="preserve"> figures.</w:t>
      </w:r>
    </w:p>
    <w:p w14:paraId="20277C5A" w14:textId="77777777" w:rsidR="008A2B0C" w:rsidRPr="00693825" w:rsidRDefault="008A2B0C" w:rsidP="009B1878">
      <w:pPr>
        <w:pStyle w:val="Default"/>
        <w:rPr>
          <w:color w:val="auto"/>
          <w:sz w:val="22"/>
          <w:szCs w:val="22"/>
        </w:rPr>
      </w:pPr>
    </w:p>
    <w:tbl>
      <w:tblPr>
        <w:tblW w:w="10260" w:type="dxa"/>
        <w:tblLook w:val="04A0" w:firstRow="1" w:lastRow="0" w:firstColumn="1" w:lastColumn="0" w:noHBand="0" w:noVBand="1"/>
      </w:tblPr>
      <w:tblGrid>
        <w:gridCol w:w="1800"/>
        <w:gridCol w:w="875"/>
        <w:gridCol w:w="816"/>
        <w:gridCol w:w="1082"/>
        <w:gridCol w:w="413"/>
        <w:gridCol w:w="996"/>
        <w:gridCol w:w="875"/>
        <w:gridCol w:w="854"/>
        <w:gridCol w:w="1082"/>
        <w:gridCol w:w="413"/>
        <w:gridCol w:w="1054"/>
      </w:tblGrid>
      <w:tr w:rsidR="006E54CE" w:rsidRPr="00693825" w14:paraId="5F33B23C" w14:textId="77777777" w:rsidTr="00CD7358">
        <w:trPr>
          <w:trHeight w:val="1020"/>
        </w:trPr>
        <w:tc>
          <w:tcPr>
            <w:tcW w:w="1800" w:type="dxa"/>
            <w:tcBorders>
              <w:top w:val="single" w:sz="8" w:space="0" w:color="auto"/>
              <w:left w:val="single" w:sz="8" w:space="0" w:color="auto"/>
              <w:bottom w:val="single" w:sz="4" w:space="0" w:color="BFBFBF"/>
              <w:right w:val="single" w:sz="4" w:space="0" w:color="BFBFBF"/>
            </w:tcBorders>
            <w:noWrap/>
            <w:vAlign w:val="center"/>
            <w:hideMark/>
          </w:tcPr>
          <w:p w14:paraId="3531445C" w14:textId="77777777" w:rsidR="006E54CE" w:rsidRPr="00693825" w:rsidRDefault="006E54CE" w:rsidP="006E54CE">
            <w:pPr>
              <w:spacing w:after="0" w:line="240" w:lineRule="auto"/>
              <w:rPr>
                <w:rFonts w:ascii="Calibri" w:eastAsia="Times New Roman" w:hAnsi="Calibri" w:cs="Calibri"/>
                <w:sz w:val="20"/>
                <w:szCs w:val="20"/>
                <w:lang w:eastAsia="en-GB"/>
              </w:rPr>
            </w:pPr>
            <w:r w:rsidRPr="00693825">
              <w:rPr>
                <w:rFonts w:ascii="Calibri" w:eastAsia="Times New Roman" w:hAnsi="Calibri" w:cs="Calibri"/>
                <w:sz w:val="20"/>
                <w:szCs w:val="20"/>
                <w:lang w:eastAsia="en-GB"/>
              </w:rPr>
              <w:t> </w:t>
            </w:r>
          </w:p>
        </w:tc>
        <w:tc>
          <w:tcPr>
            <w:tcW w:w="875" w:type="dxa"/>
            <w:tcBorders>
              <w:top w:val="single" w:sz="8" w:space="0" w:color="auto"/>
              <w:left w:val="nil"/>
              <w:bottom w:val="single" w:sz="4" w:space="0" w:color="BFBFBF"/>
              <w:right w:val="single" w:sz="4" w:space="0" w:color="BFBFBF"/>
            </w:tcBorders>
            <w:shd w:val="clear" w:color="auto" w:fill="D9E2F3" w:themeFill="accent1" w:themeFillTint="33"/>
            <w:vAlign w:val="center"/>
            <w:hideMark/>
          </w:tcPr>
          <w:p w14:paraId="3E185C48" w14:textId="1AD1B3E2" w:rsidR="006E54CE" w:rsidRPr="00CD7358" w:rsidRDefault="006E54CE" w:rsidP="006E54CE">
            <w:pPr>
              <w:spacing w:after="0" w:line="240" w:lineRule="auto"/>
              <w:jc w:val="center"/>
              <w:rPr>
                <w:rFonts w:ascii="Calibri" w:eastAsia="Times New Roman" w:hAnsi="Calibri" w:cs="Calibri"/>
                <w:b/>
                <w:bCs/>
                <w:sz w:val="20"/>
                <w:szCs w:val="20"/>
                <w:lang w:eastAsia="en-GB"/>
              </w:rPr>
            </w:pPr>
            <w:r>
              <w:rPr>
                <w:rFonts w:ascii="Calibri" w:hAnsi="Calibri" w:cs="Calibri"/>
                <w:b/>
                <w:bCs/>
                <w:color w:val="000000"/>
                <w:sz w:val="20"/>
                <w:szCs w:val="20"/>
              </w:rPr>
              <w:t>2024 Mean Hourly Rate</w:t>
            </w:r>
          </w:p>
        </w:tc>
        <w:tc>
          <w:tcPr>
            <w:tcW w:w="816" w:type="dxa"/>
            <w:tcBorders>
              <w:top w:val="single" w:sz="8" w:space="0" w:color="auto"/>
              <w:left w:val="nil"/>
              <w:bottom w:val="single" w:sz="4" w:space="0" w:color="BFBFBF"/>
              <w:right w:val="single" w:sz="4" w:space="0" w:color="BFBFBF"/>
            </w:tcBorders>
            <w:shd w:val="clear" w:color="auto" w:fill="B4C6E7" w:themeFill="accent1" w:themeFillTint="66"/>
            <w:vAlign w:val="center"/>
            <w:hideMark/>
          </w:tcPr>
          <w:p w14:paraId="47990E59" w14:textId="507A41C8" w:rsidR="006E54CE" w:rsidRPr="00CD7358" w:rsidRDefault="006E54CE" w:rsidP="006E54CE">
            <w:pPr>
              <w:spacing w:after="0" w:line="240" w:lineRule="auto"/>
              <w:jc w:val="center"/>
              <w:rPr>
                <w:rFonts w:ascii="Calibri" w:eastAsia="Times New Roman" w:hAnsi="Calibri" w:cs="Calibri"/>
                <w:b/>
                <w:bCs/>
                <w:sz w:val="20"/>
                <w:szCs w:val="20"/>
                <w:lang w:eastAsia="en-GB"/>
              </w:rPr>
            </w:pPr>
            <w:r>
              <w:rPr>
                <w:rFonts w:ascii="Calibri" w:hAnsi="Calibri" w:cs="Calibri"/>
                <w:b/>
                <w:bCs/>
                <w:color w:val="000000"/>
                <w:sz w:val="20"/>
                <w:szCs w:val="20"/>
              </w:rPr>
              <w:t>2025 Mean Hourly Rate</w:t>
            </w:r>
          </w:p>
        </w:tc>
        <w:tc>
          <w:tcPr>
            <w:tcW w:w="1082" w:type="dxa"/>
            <w:tcBorders>
              <w:top w:val="single" w:sz="8" w:space="0" w:color="auto"/>
              <w:left w:val="nil"/>
              <w:bottom w:val="single" w:sz="4" w:space="0" w:color="BFBFBF"/>
              <w:right w:val="single" w:sz="4" w:space="0" w:color="BFBFBF"/>
            </w:tcBorders>
            <w:shd w:val="clear" w:color="auto" w:fill="BDD6EE" w:themeFill="accent5" w:themeFillTint="66"/>
            <w:vAlign w:val="center"/>
            <w:hideMark/>
          </w:tcPr>
          <w:p w14:paraId="55C83E27" w14:textId="49328603" w:rsidR="006E54CE" w:rsidRPr="00CD7358" w:rsidRDefault="006E54CE" w:rsidP="006E54CE">
            <w:pPr>
              <w:spacing w:after="0" w:line="240" w:lineRule="auto"/>
              <w:jc w:val="center"/>
              <w:rPr>
                <w:rFonts w:ascii="Calibri" w:eastAsia="Times New Roman" w:hAnsi="Calibri" w:cs="Calibri"/>
                <w:b/>
                <w:bCs/>
                <w:sz w:val="20"/>
                <w:szCs w:val="20"/>
                <w:lang w:eastAsia="en-GB"/>
              </w:rPr>
            </w:pPr>
            <w:r>
              <w:rPr>
                <w:rFonts w:ascii="Calibri" w:hAnsi="Calibri" w:cs="Calibri"/>
                <w:b/>
                <w:bCs/>
                <w:color w:val="000000"/>
                <w:sz w:val="20"/>
                <w:szCs w:val="20"/>
              </w:rPr>
              <w:t>Difference</w:t>
            </w:r>
          </w:p>
        </w:tc>
        <w:tc>
          <w:tcPr>
            <w:tcW w:w="1409" w:type="dxa"/>
            <w:gridSpan w:val="2"/>
            <w:tcBorders>
              <w:top w:val="single" w:sz="8" w:space="0" w:color="auto"/>
              <w:left w:val="nil"/>
              <w:bottom w:val="single" w:sz="4" w:space="0" w:color="BFBFBF"/>
              <w:right w:val="single" w:sz="4" w:space="0" w:color="BFBFBF"/>
            </w:tcBorders>
            <w:shd w:val="clear" w:color="auto" w:fill="BDD6EE" w:themeFill="accent5" w:themeFillTint="66"/>
            <w:vAlign w:val="center"/>
            <w:hideMark/>
          </w:tcPr>
          <w:p w14:paraId="7E05457E" w14:textId="268D5DA7" w:rsidR="006E54CE" w:rsidRPr="00CD7358" w:rsidRDefault="006E54CE" w:rsidP="006E54CE">
            <w:pPr>
              <w:spacing w:after="0" w:line="240" w:lineRule="auto"/>
              <w:jc w:val="center"/>
              <w:rPr>
                <w:rFonts w:ascii="Calibri" w:eastAsia="Times New Roman" w:hAnsi="Calibri" w:cs="Calibri"/>
                <w:b/>
                <w:bCs/>
                <w:sz w:val="20"/>
                <w:szCs w:val="20"/>
                <w:lang w:eastAsia="en-GB"/>
              </w:rPr>
            </w:pPr>
            <w:r>
              <w:rPr>
                <w:rFonts w:ascii="Calibri" w:hAnsi="Calibri" w:cs="Calibri"/>
                <w:b/>
                <w:bCs/>
                <w:color w:val="000000"/>
                <w:sz w:val="20"/>
                <w:szCs w:val="20"/>
              </w:rPr>
              <w:t>Difference (%)</w:t>
            </w:r>
          </w:p>
        </w:tc>
        <w:tc>
          <w:tcPr>
            <w:tcW w:w="875" w:type="dxa"/>
            <w:tcBorders>
              <w:top w:val="single" w:sz="8" w:space="0" w:color="auto"/>
              <w:left w:val="nil"/>
              <w:bottom w:val="single" w:sz="4" w:space="0" w:color="BFBFBF"/>
              <w:right w:val="single" w:sz="4" w:space="0" w:color="BFBFBF"/>
            </w:tcBorders>
            <w:shd w:val="clear" w:color="auto" w:fill="D9E2F3" w:themeFill="accent1" w:themeFillTint="33"/>
            <w:vAlign w:val="center"/>
            <w:hideMark/>
          </w:tcPr>
          <w:p w14:paraId="2B47DF1F" w14:textId="1C1779EB" w:rsidR="006E54CE" w:rsidRPr="00CD7358" w:rsidRDefault="006E54CE" w:rsidP="006E54CE">
            <w:pPr>
              <w:spacing w:after="0" w:line="240" w:lineRule="auto"/>
              <w:jc w:val="center"/>
              <w:rPr>
                <w:rFonts w:ascii="Calibri" w:eastAsia="Times New Roman" w:hAnsi="Calibri" w:cs="Calibri"/>
                <w:b/>
                <w:bCs/>
                <w:sz w:val="20"/>
                <w:szCs w:val="20"/>
                <w:lang w:eastAsia="en-GB"/>
              </w:rPr>
            </w:pPr>
            <w:r>
              <w:rPr>
                <w:rFonts w:ascii="Calibri" w:hAnsi="Calibri" w:cs="Calibri"/>
                <w:b/>
                <w:bCs/>
                <w:color w:val="000000"/>
                <w:sz w:val="20"/>
                <w:szCs w:val="20"/>
              </w:rPr>
              <w:t>2024 Median Hourly Rate</w:t>
            </w:r>
          </w:p>
        </w:tc>
        <w:tc>
          <w:tcPr>
            <w:tcW w:w="854" w:type="dxa"/>
            <w:tcBorders>
              <w:top w:val="single" w:sz="8" w:space="0" w:color="auto"/>
              <w:left w:val="nil"/>
              <w:bottom w:val="single" w:sz="4" w:space="0" w:color="BFBFBF"/>
              <w:right w:val="single" w:sz="4" w:space="0" w:color="BFBFBF"/>
            </w:tcBorders>
            <w:shd w:val="clear" w:color="auto" w:fill="B4C6E7" w:themeFill="accent1" w:themeFillTint="66"/>
            <w:vAlign w:val="center"/>
            <w:hideMark/>
          </w:tcPr>
          <w:p w14:paraId="7F4774E9" w14:textId="45CEAE91" w:rsidR="006E54CE" w:rsidRPr="00CD7358" w:rsidRDefault="006E54CE" w:rsidP="006E54CE">
            <w:pPr>
              <w:spacing w:after="0" w:line="240" w:lineRule="auto"/>
              <w:jc w:val="center"/>
              <w:rPr>
                <w:rFonts w:ascii="Calibri" w:eastAsia="Times New Roman" w:hAnsi="Calibri" w:cs="Calibri"/>
                <w:b/>
                <w:bCs/>
                <w:sz w:val="20"/>
                <w:szCs w:val="20"/>
                <w:lang w:eastAsia="en-GB"/>
              </w:rPr>
            </w:pPr>
            <w:r>
              <w:rPr>
                <w:rFonts w:ascii="Calibri" w:hAnsi="Calibri" w:cs="Calibri"/>
                <w:b/>
                <w:bCs/>
                <w:color w:val="000000"/>
                <w:sz w:val="20"/>
                <w:szCs w:val="20"/>
              </w:rPr>
              <w:t>2025 Median Hourly Rate</w:t>
            </w:r>
          </w:p>
        </w:tc>
        <w:tc>
          <w:tcPr>
            <w:tcW w:w="1082" w:type="dxa"/>
            <w:tcBorders>
              <w:top w:val="single" w:sz="8" w:space="0" w:color="auto"/>
              <w:left w:val="nil"/>
              <w:bottom w:val="single" w:sz="4" w:space="0" w:color="BFBFBF"/>
              <w:right w:val="single" w:sz="4" w:space="0" w:color="BFBFBF"/>
            </w:tcBorders>
            <w:shd w:val="clear" w:color="auto" w:fill="BDD6EE" w:themeFill="accent5" w:themeFillTint="66"/>
            <w:vAlign w:val="center"/>
            <w:hideMark/>
          </w:tcPr>
          <w:p w14:paraId="735D07E0" w14:textId="77777777" w:rsidR="006E54CE" w:rsidRPr="00693825" w:rsidRDefault="006E54CE" w:rsidP="006E54CE">
            <w:pPr>
              <w:spacing w:after="0" w:line="240" w:lineRule="auto"/>
              <w:jc w:val="center"/>
              <w:rPr>
                <w:rFonts w:ascii="Calibri" w:eastAsia="Times New Roman" w:hAnsi="Calibri" w:cs="Calibri"/>
                <w:b/>
                <w:bCs/>
                <w:sz w:val="20"/>
                <w:szCs w:val="20"/>
                <w:lang w:eastAsia="en-GB"/>
              </w:rPr>
            </w:pPr>
            <w:r w:rsidRPr="00693825">
              <w:rPr>
                <w:rFonts w:ascii="Calibri" w:eastAsia="Times New Roman" w:hAnsi="Calibri" w:cs="Calibri"/>
                <w:b/>
                <w:bCs/>
                <w:sz w:val="20"/>
                <w:szCs w:val="20"/>
                <w:lang w:eastAsia="en-GB"/>
              </w:rPr>
              <w:t>Difference</w:t>
            </w:r>
          </w:p>
        </w:tc>
        <w:tc>
          <w:tcPr>
            <w:tcW w:w="1467" w:type="dxa"/>
            <w:gridSpan w:val="2"/>
            <w:tcBorders>
              <w:top w:val="single" w:sz="8" w:space="0" w:color="auto"/>
              <w:left w:val="nil"/>
              <w:bottom w:val="single" w:sz="4" w:space="0" w:color="BFBFBF"/>
              <w:right w:val="single" w:sz="8" w:space="0" w:color="000000"/>
            </w:tcBorders>
            <w:shd w:val="clear" w:color="auto" w:fill="BDD6EE" w:themeFill="accent5" w:themeFillTint="66"/>
            <w:vAlign w:val="center"/>
            <w:hideMark/>
          </w:tcPr>
          <w:p w14:paraId="530418AE" w14:textId="77777777" w:rsidR="006E54CE" w:rsidRPr="00693825" w:rsidRDefault="006E54CE" w:rsidP="006E54CE">
            <w:pPr>
              <w:spacing w:after="0" w:line="240" w:lineRule="auto"/>
              <w:jc w:val="center"/>
              <w:rPr>
                <w:rFonts w:ascii="Calibri" w:eastAsia="Times New Roman" w:hAnsi="Calibri" w:cs="Calibri"/>
                <w:b/>
                <w:bCs/>
                <w:sz w:val="20"/>
                <w:szCs w:val="20"/>
                <w:lang w:eastAsia="en-GB"/>
              </w:rPr>
            </w:pPr>
            <w:r w:rsidRPr="00693825">
              <w:rPr>
                <w:rFonts w:ascii="Calibri" w:eastAsia="Times New Roman" w:hAnsi="Calibri" w:cs="Calibri"/>
                <w:b/>
                <w:bCs/>
                <w:sz w:val="20"/>
                <w:szCs w:val="20"/>
                <w:lang w:eastAsia="en-GB"/>
              </w:rPr>
              <w:t>Difference (%)</w:t>
            </w:r>
          </w:p>
        </w:tc>
      </w:tr>
      <w:tr w:rsidR="006E54CE" w:rsidRPr="00693825" w14:paraId="1AF7D3B1" w14:textId="77777777" w:rsidTr="00CD7358">
        <w:trPr>
          <w:trHeight w:val="300"/>
        </w:trPr>
        <w:tc>
          <w:tcPr>
            <w:tcW w:w="1800" w:type="dxa"/>
            <w:tcBorders>
              <w:top w:val="nil"/>
              <w:left w:val="single" w:sz="8" w:space="0" w:color="auto"/>
              <w:bottom w:val="single" w:sz="4" w:space="0" w:color="BFBFBF"/>
              <w:right w:val="single" w:sz="4" w:space="0" w:color="BFBFBF"/>
            </w:tcBorders>
            <w:shd w:val="clear" w:color="000000" w:fill="D9E1F2"/>
            <w:noWrap/>
            <w:vAlign w:val="center"/>
            <w:hideMark/>
          </w:tcPr>
          <w:p w14:paraId="5D499EA2" w14:textId="77777777" w:rsidR="006E54CE" w:rsidRPr="00693825" w:rsidRDefault="006E54CE" w:rsidP="006E54CE">
            <w:pPr>
              <w:spacing w:after="0" w:line="240" w:lineRule="auto"/>
              <w:rPr>
                <w:rFonts w:ascii="Calibri" w:eastAsia="Times New Roman" w:hAnsi="Calibri" w:cs="Calibri"/>
                <w:b/>
                <w:bCs/>
                <w:sz w:val="20"/>
                <w:szCs w:val="20"/>
                <w:lang w:eastAsia="en-GB"/>
              </w:rPr>
            </w:pPr>
            <w:r w:rsidRPr="00693825">
              <w:rPr>
                <w:rFonts w:ascii="Calibri" w:eastAsia="Times New Roman" w:hAnsi="Calibri" w:cs="Calibri"/>
                <w:b/>
                <w:bCs/>
                <w:sz w:val="20"/>
                <w:szCs w:val="20"/>
                <w:lang w:eastAsia="en-GB"/>
              </w:rPr>
              <w:t>Male</w:t>
            </w:r>
          </w:p>
        </w:tc>
        <w:tc>
          <w:tcPr>
            <w:tcW w:w="875" w:type="dxa"/>
            <w:tcBorders>
              <w:top w:val="nil"/>
              <w:left w:val="nil"/>
              <w:bottom w:val="single" w:sz="4" w:space="0" w:color="BFBFBF"/>
              <w:right w:val="single" w:sz="4" w:space="0" w:color="BFBFBF"/>
            </w:tcBorders>
            <w:shd w:val="clear" w:color="000000" w:fill="FFFFFF"/>
            <w:vAlign w:val="center"/>
            <w:hideMark/>
          </w:tcPr>
          <w:p w14:paraId="6C5789D6" w14:textId="0AEA4615"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38.56</w:t>
            </w:r>
          </w:p>
        </w:tc>
        <w:tc>
          <w:tcPr>
            <w:tcW w:w="816" w:type="dxa"/>
            <w:tcBorders>
              <w:top w:val="nil"/>
              <w:left w:val="nil"/>
              <w:bottom w:val="single" w:sz="4" w:space="0" w:color="BFBFBF"/>
              <w:right w:val="single" w:sz="4" w:space="0" w:color="BFBFBF"/>
            </w:tcBorders>
            <w:shd w:val="clear" w:color="000000" w:fill="FFFFFF"/>
            <w:vAlign w:val="center"/>
            <w:hideMark/>
          </w:tcPr>
          <w:p w14:paraId="754FC08A" w14:textId="0BB8E7B5"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40.54</w:t>
            </w:r>
          </w:p>
        </w:tc>
        <w:tc>
          <w:tcPr>
            <w:tcW w:w="1082" w:type="dxa"/>
            <w:tcBorders>
              <w:top w:val="nil"/>
              <w:left w:val="nil"/>
              <w:bottom w:val="single" w:sz="4" w:space="0" w:color="BFBFBF"/>
              <w:right w:val="single" w:sz="4" w:space="0" w:color="BFBFBF"/>
            </w:tcBorders>
            <w:shd w:val="clear" w:color="000000" w:fill="FFFFFF"/>
            <w:vAlign w:val="center"/>
            <w:hideMark/>
          </w:tcPr>
          <w:p w14:paraId="0F9A5A42" w14:textId="73919857"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1.98</w:t>
            </w:r>
          </w:p>
        </w:tc>
        <w:tc>
          <w:tcPr>
            <w:tcW w:w="413" w:type="dxa"/>
            <w:tcBorders>
              <w:top w:val="single" w:sz="4" w:space="0" w:color="BFBFBF"/>
              <w:left w:val="single" w:sz="4" w:space="0" w:color="BFBFBF"/>
              <w:bottom w:val="nil"/>
              <w:right w:val="single" w:sz="4" w:space="0" w:color="FFFFFF"/>
            </w:tcBorders>
            <w:noWrap/>
            <w:vAlign w:val="center"/>
            <w:hideMark/>
          </w:tcPr>
          <w:p w14:paraId="2F854DA6" w14:textId="73F82E83" w:rsidR="006E54CE" w:rsidRPr="00234657" w:rsidRDefault="006E54CE" w:rsidP="006E54CE">
            <w:pPr>
              <w:spacing w:after="0" w:line="240" w:lineRule="auto"/>
              <w:jc w:val="right"/>
              <w:rPr>
                <w:rFonts w:ascii="Wingdings 3" w:eastAsia="Times New Roman" w:hAnsi="Wingdings 3" w:cs="Calibri"/>
                <w:highlight w:val="yellow"/>
                <w:lang w:eastAsia="en-GB"/>
              </w:rPr>
            </w:pPr>
            <w:r>
              <w:rPr>
                <w:color w:val="FF0000"/>
              </w:rPr>
              <w:t> </w:t>
            </w:r>
          </w:p>
        </w:tc>
        <w:tc>
          <w:tcPr>
            <w:tcW w:w="996" w:type="dxa"/>
            <w:tcBorders>
              <w:top w:val="nil"/>
              <w:left w:val="nil"/>
              <w:bottom w:val="single" w:sz="4" w:space="0" w:color="BFBFBF"/>
              <w:right w:val="single" w:sz="4" w:space="0" w:color="BFBFBF"/>
            </w:tcBorders>
            <w:noWrap/>
            <w:vAlign w:val="center"/>
            <w:hideMark/>
          </w:tcPr>
          <w:p w14:paraId="2800B192" w14:textId="65C6CF0C"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b/>
                <w:bCs/>
                <w:color w:val="000000"/>
                <w:sz w:val="18"/>
                <w:szCs w:val="18"/>
              </w:rPr>
              <w:t>4.88%</w:t>
            </w:r>
          </w:p>
        </w:tc>
        <w:tc>
          <w:tcPr>
            <w:tcW w:w="875" w:type="dxa"/>
            <w:tcBorders>
              <w:top w:val="nil"/>
              <w:left w:val="nil"/>
              <w:bottom w:val="single" w:sz="4" w:space="0" w:color="BFBFBF"/>
              <w:right w:val="single" w:sz="4" w:space="0" w:color="BFBFBF"/>
            </w:tcBorders>
            <w:shd w:val="clear" w:color="000000" w:fill="FFFFFF"/>
            <w:vAlign w:val="center"/>
            <w:hideMark/>
          </w:tcPr>
          <w:p w14:paraId="3DA906D4" w14:textId="417CB715"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45.46</w:t>
            </w:r>
          </w:p>
        </w:tc>
        <w:tc>
          <w:tcPr>
            <w:tcW w:w="854" w:type="dxa"/>
            <w:tcBorders>
              <w:top w:val="nil"/>
              <w:left w:val="nil"/>
              <w:bottom w:val="single" w:sz="4" w:space="0" w:color="BFBFBF"/>
              <w:right w:val="single" w:sz="4" w:space="0" w:color="BFBFBF"/>
            </w:tcBorders>
            <w:shd w:val="clear" w:color="000000" w:fill="FFFFFF"/>
            <w:vAlign w:val="center"/>
            <w:hideMark/>
          </w:tcPr>
          <w:p w14:paraId="1877D639" w14:textId="5511934F"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50.78</w:t>
            </w:r>
          </w:p>
        </w:tc>
        <w:tc>
          <w:tcPr>
            <w:tcW w:w="1082" w:type="dxa"/>
            <w:tcBorders>
              <w:top w:val="nil"/>
              <w:left w:val="nil"/>
              <w:bottom w:val="single" w:sz="4" w:space="0" w:color="BFBFBF"/>
              <w:right w:val="single" w:sz="4" w:space="0" w:color="BFBFBF"/>
            </w:tcBorders>
            <w:shd w:val="clear" w:color="000000" w:fill="FFFFFF"/>
            <w:vAlign w:val="center"/>
            <w:hideMark/>
          </w:tcPr>
          <w:p w14:paraId="48620F11" w14:textId="1238D085"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5.32</w:t>
            </w:r>
          </w:p>
        </w:tc>
        <w:tc>
          <w:tcPr>
            <w:tcW w:w="413" w:type="dxa"/>
            <w:tcBorders>
              <w:top w:val="single" w:sz="4" w:space="0" w:color="BFBFBF"/>
              <w:left w:val="single" w:sz="4" w:space="0" w:color="BFBFBF"/>
              <w:bottom w:val="nil"/>
              <w:right w:val="single" w:sz="4" w:space="0" w:color="FFFFFF"/>
            </w:tcBorders>
            <w:noWrap/>
            <w:vAlign w:val="center"/>
            <w:hideMark/>
          </w:tcPr>
          <w:p w14:paraId="74E8C827" w14:textId="3D4AF39A" w:rsidR="006E54CE" w:rsidRPr="00234657" w:rsidRDefault="006E54CE" w:rsidP="006E54CE">
            <w:pPr>
              <w:spacing w:after="0" w:line="240" w:lineRule="auto"/>
              <w:jc w:val="right"/>
              <w:rPr>
                <w:rFonts w:ascii="Wingdings 3" w:eastAsia="Times New Roman" w:hAnsi="Wingdings 3" w:cs="Calibri"/>
                <w:highlight w:val="yellow"/>
                <w:lang w:eastAsia="en-GB"/>
              </w:rPr>
            </w:pPr>
            <w:r>
              <w:rPr>
                <w:color w:val="FF0000"/>
              </w:rPr>
              <w:t> </w:t>
            </w:r>
          </w:p>
        </w:tc>
        <w:tc>
          <w:tcPr>
            <w:tcW w:w="1054" w:type="dxa"/>
            <w:tcBorders>
              <w:top w:val="nil"/>
              <w:left w:val="nil"/>
              <w:bottom w:val="single" w:sz="4" w:space="0" w:color="BFBFBF"/>
              <w:right w:val="single" w:sz="8" w:space="0" w:color="auto"/>
            </w:tcBorders>
            <w:noWrap/>
            <w:vAlign w:val="center"/>
            <w:hideMark/>
          </w:tcPr>
          <w:p w14:paraId="21537D3A" w14:textId="0C6F8E2C"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b/>
                <w:bCs/>
                <w:color w:val="000000"/>
                <w:sz w:val="18"/>
                <w:szCs w:val="18"/>
              </w:rPr>
              <w:t>10.47%</w:t>
            </w:r>
          </w:p>
        </w:tc>
      </w:tr>
      <w:tr w:rsidR="006E54CE" w:rsidRPr="00693825" w14:paraId="04DB4523" w14:textId="77777777" w:rsidTr="00CD7358">
        <w:trPr>
          <w:trHeight w:val="300"/>
        </w:trPr>
        <w:tc>
          <w:tcPr>
            <w:tcW w:w="1800" w:type="dxa"/>
            <w:tcBorders>
              <w:top w:val="nil"/>
              <w:left w:val="single" w:sz="8" w:space="0" w:color="auto"/>
              <w:bottom w:val="single" w:sz="4" w:space="0" w:color="BFBFBF"/>
              <w:right w:val="single" w:sz="4" w:space="0" w:color="BFBFBF"/>
            </w:tcBorders>
            <w:shd w:val="clear" w:color="000000" w:fill="D9E1F2"/>
            <w:noWrap/>
            <w:vAlign w:val="center"/>
            <w:hideMark/>
          </w:tcPr>
          <w:p w14:paraId="3080FAEE" w14:textId="77777777" w:rsidR="006E54CE" w:rsidRPr="00693825" w:rsidRDefault="006E54CE" w:rsidP="006E54CE">
            <w:pPr>
              <w:spacing w:after="0" w:line="240" w:lineRule="auto"/>
              <w:rPr>
                <w:rFonts w:ascii="Calibri" w:eastAsia="Times New Roman" w:hAnsi="Calibri" w:cs="Calibri"/>
                <w:b/>
                <w:bCs/>
                <w:sz w:val="20"/>
                <w:szCs w:val="20"/>
                <w:lang w:eastAsia="en-GB"/>
              </w:rPr>
            </w:pPr>
            <w:r w:rsidRPr="00693825">
              <w:rPr>
                <w:rFonts w:ascii="Calibri" w:eastAsia="Times New Roman" w:hAnsi="Calibri" w:cs="Calibri"/>
                <w:b/>
                <w:bCs/>
                <w:sz w:val="20"/>
                <w:szCs w:val="20"/>
                <w:lang w:eastAsia="en-GB"/>
              </w:rPr>
              <w:t>Female</w:t>
            </w:r>
          </w:p>
        </w:tc>
        <w:tc>
          <w:tcPr>
            <w:tcW w:w="875" w:type="dxa"/>
            <w:tcBorders>
              <w:top w:val="nil"/>
              <w:left w:val="nil"/>
              <w:bottom w:val="single" w:sz="4" w:space="0" w:color="BFBFBF"/>
              <w:right w:val="single" w:sz="4" w:space="0" w:color="BFBFBF"/>
            </w:tcBorders>
            <w:shd w:val="clear" w:color="000000" w:fill="FFFFFF"/>
            <w:vAlign w:val="center"/>
            <w:hideMark/>
          </w:tcPr>
          <w:p w14:paraId="5F2736D4" w14:textId="608F7373"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20.87</w:t>
            </w:r>
          </w:p>
        </w:tc>
        <w:tc>
          <w:tcPr>
            <w:tcW w:w="816" w:type="dxa"/>
            <w:tcBorders>
              <w:top w:val="nil"/>
              <w:left w:val="nil"/>
              <w:bottom w:val="single" w:sz="4" w:space="0" w:color="BFBFBF"/>
              <w:right w:val="single" w:sz="4" w:space="0" w:color="BFBFBF"/>
            </w:tcBorders>
            <w:shd w:val="clear" w:color="000000" w:fill="FFFFFF"/>
            <w:vAlign w:val="center"/>
            <w:hideMark/>
          </w:tcPr>
          <w:p w14:paraId="7E6F4FF5" w14:textId="753942B8"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22.71</w:t>
            </w:r>
          </w:p>
        </w:tc>
        <w:tc>
          <w:tcPr>
            <w:tcW w:w="1082" w:type="dxa"/>
            <w:tcBorders>
              <w:top w:val="nil"/>
              <w:left w:val="nil"/>
              <w:bottom w:val="single" w:sz="4" w:space="0" w:color="BFBFBF"/>
              <w:right w:val="single" w:sz="4" w:space="0" w:color="BFBFBF"/>
            </w:tcBorders>
            <w:shd w:val="clear" w:color="000000" w:fill="FFFFFF"/>
            <w:vAlign w:val="center"/>
            <w:hideMark/>
          </w:tcPr>
          <w:p w14:paraId="0F5B6E41" w14:textId="094A79C5"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1.84</w:t>
            </w:r>
          </w:p>
        </w:tc>
        <w:tc>
          <w:tcPr>
            <w:tcW w:w="413" w:type="dxa"/>
            <w:tcBorders>
              <w:top w:val="single" w:sz="4" w:space="0" w:color="BFBFBF"/>
              <w:left w:val="single" w:sz="4" w:space="0" w:color="BFBFBF"/>
              <w:bottom w:val="nil"/>
              <w:right w:val="single" w:sz="4" w:space="0" w:color="FFFFFF"/>
            </w:tcBorders>
            <w:noWrap/>
            <w:vAlign w:val="center"/>
            <w:hideMark/>
          </w:tcPr>
          <w:p w14:paraId="41A17E04" w14:textId="4B6CD062" w:rsidR="006E54CE" w:rsidRPr="00234657" w:rsidRDefault="006E54CE" w:rsidP="006E54CE">
            <w:pPr>
              <w:spacing w:after="0" w:line="240" w:lineRule="auto"/>
              <w:jc w:val="right"/>
              <w:rPr>
                <w:rFonts w:ascii="Wingdings 3" w:eastAsia="Times New Roman" w:hAnsi="Wingdings 3" w:cs="Calibri"/>
                <w:highlight w:val="yellow"/>
                <w:lang w:eastAsia="en-GB"/>
              </w:rPr>
            </w:pPr>
            <w:r>
              <w:rPr>
                <w:color w:val="FF0000"/>
              </w:rPr>
              <w:t> </w:t>
            </w:r>
          </w:p>
        </w:tc>
        <w:tc>
          <w:tcPr>
            <w:tcW w:w="996" w:type="dxa"/>
            <w:tcBorders>
              <w:top w:val="nil"/>
              <w:left w:val="nil"/>
              <w:bottom w:val="single" w:sz="4" w:space="0" w:color="BFBFBF"/>
              <w:right w:val="single" w:sz="4" w:space="0" w:color="BFBFBF"/>
            </w:tcBorders>
            <w:noWrap/>
            <w:vAlign w:val="center"/>
            <w:hideMark/>
          </w:tcPr>
          <w:p w14:paraId="6B6C4774" w14:textId="49DB258E"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b/>
                <w:bCs/>
                <w:color w:val="000000"/>
                <w:sz w:val="18"/>
                <w:szCs w:val="18"/>
              </w:rPr>
              <w:t>8.11%</w:t>
            </w:r>
          </w:p>
        </w:tc>
        <w:tc>
          <w:tcPr>
            <w:tcW w:w="875" w:type="dxa"/>
            <w:tcBorders>
              <w:top w:val="nil"/>
              <w:left w:val="nil"/>
              <w:bottom w:val="single" w:sz="4" w:space="0" w:color="BFBFBF"/>
              <w:right w:val="single" w:sz="4" w:space="0" w:color="BFBFBF"/>
            </w:tcBorders>
            <w:shd w:val="clear" w:color="000000" w:fill="FFFFFF"/>
            <w:vAlign w:val="center"/>
          </w:tcPr>
          <w:p w14:paraId="33FE0B7A" w14:textId="6D032C27"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12.54</w:t>
            </w:r>
          </w:p>
        </w:tc>
        <w:tc>
          <w:tcPr>
            <w:tcW w:w="854" w:type="dxa"/>
            <w:tcBorders>
              <w:top w:val="nil"/>
              <w:left w:val="nil"/>
              <w:bottom w:val="single" w:sz="4" w:space="0" w:color="BFBFBF"/>
              <w:right w:val="single" w:sz="4" w:space="0" w:color="BFBFBF"/>
            </w:tcBorders>
            <w:shd w:val="clear" w:color="000000" w:fill="FFFFFF"/>
            <w:vAlign w:val="center"/>
            <w:hideMark/>
          </w:tcPr>
          <w:p w14:paraId="340B152C" w14:textId="7B2909DE"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13.47</w:t>
            </w:r>
          </w:p>
        </w:tc>
        <w:tc>
          <w:tcPr>
            <w:tcW w:w="1082" w:type="dxa"/>
            <w:tcBorders>
              <w:top w:val="nil"/>
              <w:left w:val="nil"/>
              <w:bottom w:val="single" w:sz="4" w:space="0" w:color="BFBFBF"/>
              <w:right w:val="single" w:sz="4" w:space="0" w:color="BFBFBF"/>
            </w:tcBorders>
            <w:shd w:val="clear" w:color="000000" w:fill="FFFFFF"/>
            <w:vAlign w:val="center"/>
            <w:hideMark/>
          </w:tcPr>
          <w:p w14:paraId="28380843" w14:textId="0B454C29"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0.93</w:t>
            </w:r>
          </w:p>
        </w:tc>
        <w:tc>
          <w:tcPr>
            <w:tcW w:w="413" w:type="dxa"/>
            <w:tcBorders>
              <w:top w:val="single" w:sz="4" w:space="0" w:color="BFBFBF"/>
              <w:left w:val="single" w:sz="4" w:space="0" w:color="BFBFBF"/>
              <w:bottom w:val="nil"/>
              <w:right w:val="single" w:sz="4" w:space="0" w:color="FFFFFF"/>
            </w:tcBorders>
            <w:noWrap/>
            <w:vAlign w:val="center"/>
            <w:hideMark/>
          </w:tcPr>
          <w:p w14:paraId="08A1AC90" w14:textId="7434AA6C" w:rsidR="006E54CE" w:rsidRPr="00234657" w:rsidRDefault="006E54CE" w:rsidP="006E54CE">
            <w:pPr>
              <w:spacing w:after="0" w:line="240" w:lineRule="auto"/>
              <w:jc w:val="right"/>
              <w:rPr>
                <w:rFonts w:ascii="Wingdings 3" w:eastAsia="Times New Roman" w:hAnsi="Wingdings 3" w:cs="Calibri"/>
                <w:highlight w:val="yellow"/>
                <w:lang w:eastAsia="en-GB"/>
              </w:rPr>
            </w:pPr>
            <w:r>
              <w:rPr>
                <w:color w:val="FF0000"/>
              </w:rPr>
              <w:t> </w:t>
            </w:r>
          </w:p>
        </w:tc>
        <w:tc>
          <w:tcPr>
            <w:tcW w:w="1054" w:type="dxa"/>
            <w:tcBorders>
              <w:top w:val="nil"/>
              <w:left w:val="nil"/>
              <w:bottom w:val="single" w:sz="4" w:space="0" w:color="BFBFBF"/>
              <w:right w:val="single" w:sz="8" w:space="0" w:color="auto"/>
            </w:tcBorders>
            <w:noWrap/>
            <w:vAlign w:val="center"/>
            <w:hideMark/>
          </w:tcPr>
          <w:p w14:paraId="3D65C8F5" w14:textId="3BF24570"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b/>
                <w:bCs/>
                <w:color w:val="000000"/>
                <w:sz w:val="18"/>
                <w:szCs w:val="18"/>
              </w:rPr>
              <w:t>6.92%</w:t>
            </w:r>
          </w:p>
        </w:tc>
      </w:tr>
      <w:tr w:rsidR="006E54CE" w:rsidRPr="00693825" w14:paraId="077A7B11" w14:textId="77777777" w:rsidTr="00CD7358">
        <w:trPr>
          <w:trHeight w:val="300"/>
        </w:trPr>
        <w:tc>
          <w:tcPr>
            <w:tcW w:w="1800" w:type="dxa"/>
            <w:tcBorders>
              <w:top w:val="nil"/>
              <w:left w:val="single" w:sz="8" w:space="0" w:color="auto"/>
              <w:bottom w:val="single" w:sz="4" w:space="0" w:color="BFBFBF"/>
              <w:right w:val="single" w:sz="4" w:space="0" w:color="BFBFBF"/>
            </w:tcBorders>
            <w:shd w:val="clear" w:color="000000" w:fill="D9E1F2"/>
            <w:noWrap/>
            <w:vAlign w:val="center"/>
            <w:hideMark/>
          </w:tcPr>
          <w:p w14:paraId="6AF7F2EE" w14:textId="747284CA" w:rsidR="006E54CE" w:rsidRPr="00693825" w:rsidRDefault="006E54CE" w:rsidP="006E54CE">
            <w:pPr>
              <w:spacing w:after="0" w:line="240" w:lineRule="auto"/>
              <w:rPr>
                <w:rFonts w:ascii="Calibri" w:eastAsia="Times New Roman" w:hAnsi="Calibri" w:cs="Calibri"/>
                <w:b/>
                <w:bCs/>
                <w:sz w:val="20"/>
                <w:szCs w:val="20"/>
                <w:lang w:eastAsia="en-GB"/>
              </w:rPr>
            </w:pPr>
            <w:r w:rsidRPr="00693825">
              <w:rPr>
                <w:rFonts w:ascii="Calibri" w:eastAsia="Times New Roman" w:hAnsi="Calibri" w:cs="Calibri"/>
                <w:b/>
                <w:bCs/>
                <w:sz w:val="20"/>
                <w:szCs w:val="20"/>
                <w:lang w:eastAsia="en-GB"/>
              </w:rPr>
              <w:t>Difference</w:t>
            </w:r>
          </w:p>
        </w:tc>
        <w:tc>
          <w:tcPr>
            <w:tcW w:w="875" w:type="dxa"/>
            <w:tcBorders>
              <w:top w:val="nil"/>
              <w:left w:val="nil"/>
              <w:bottom w:val="single" w:sz="4" w:space="0" w:color="BFBFBF"/>
              <w:right w:val="single" w:sz="4" w:space="0" w:color="BFBFBF"/>
            </w:tcBorders>
            <w:shd w:val="clear" w:color="000000" w:fill="FFFFFF"/>
            <w:vAlign w:val="center"/>
            <w:hideMark/>
          </w:tcPr>
          <w:p w14:paraId="452F7C89" w14:textId="44A12DA3"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17.69</w:t>
            </w:r>
          </w:p>
        </w:tc>
        <w:tc>
          <w:tcPr>
            <w:tcW w:w="816" w:type="dxa"/>
            <w:tcBorders>
              <w:top w:val="nil"/>
              <w:left w:val="nil"/>
              <w:bottom w:val="single" w:sz="4" w:space="0" w:color="BFBFBF"/>
              <w:right w:val="single" w:sz="4" w:space="0" w:color="BFBFBF"/>
            </w:tcBorders>
            <w:shd w:val="clear" w:color="000000" w:fill="FFFFFF"/>
            <w:vAlign w:val="center"/>
            <w:hideMark/>
          </w:tcPr>
          <w:p w14:paraId="49C97926" w14:textId="738FEEC4"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17.83</w:t>
            </w:r>
          </w:p>
        </w:tc>
        <w:tc>
          <w:tcPr>
            <w:tcW w:w="1082" w:type="dxa"/>
            <w:tcBorders>
              <w:top w:val="nil"/>
              <w:left w:val="nil"/>
              <w:bottom w:val="single" w:sz="4" w:space="0" w:color="BFBFBF"/>
              <w:right w:val="single" w:sz="4" w:space="0" w:color="BFBFBF"/>
            </w:tcBorders>
            <w:shd w:val="clear" w:color="000000" w:fill="FFFFFF"/>
            <w:vAlign w:val="center"/>
            <w:hideMark/>
          </w:tcPr>
          <w:p w14:paraId="5139776D" w14:textId="506A7588"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0.14</w:t>
            </w:r>
          </w:p>
        </w:tc>
        <w:tc>
          <w:tcPr>
            <w:tcW w:w="413" w:type="dxa"/>
            <w:tcBorders>
              <w:top w:val="single" w:sz="4" w:space="0" w:color="BFBFBF"/>
              <w:left w:val="single" w:sz="4" w:space="0" w:color="BFBFBF"/>
              <w:bottom w:val="nil"/>
              <w:right w:val="single" w:sz="4" w:space="0" w:color="FFFFFF"/>
            </w:tcBorders>
            <w:noWrap/>
            <w:vAlign w:val="bottom"/>
            <w:hideMark/>
          </w:tcPr>
          <w:p w14:paraId="24A77B86" w14:textId="6F11E9D4" w:rsidR="006E54CE" w:rsidRPr="00234657" w:rsidRDefault="006E54CE" w:rsidP="006E54CE">
            <w:pPr>
              <w:spacing w:after="0" w:line="240" w:lineRule="auto"/>
              <w:jc w:val="right"/>
              <w:rPr>
                <w:rFonts w:ascii="Wingdings 3" w:eastAsia="Times New Roman" w:hAnsi="Wingdings 3" w:cs="Calibri"/>
                <w:highlight w:val="yellow"/>
                <w:lang w:eastAsia="en-GB"/>
              </w:rPr>
            </w:pPr>
            <w:r>
              <w:rPr>
                <w:rFonts w:ascii="Calibri" w:hAnsi="Calibri" w:cs="Calibri"/>
                <w:color w:val="000000"/>
              </w:rPr>
              <w:t> </w:t>
            </w:r>
          </w:p>
        </w:tc>
        <w:tc>
          <w:tcPr>
            <w:tcW w:w="996" w:type="dxa"/>
            <w:tcBorders>
              <w:top w:val="nil"/>
              <w:left w:val="nil"/>
              <w:bottom w:val="single" w:sz="4" w:space="0" w:color="BFBFBF"/>
              <w:right w:val="single" w:sz="4" w:space="0" w:color="BFBFBF"/>
            </w:tcBorders>
            <w:noWrap/>
            <w:vAlign w:val="center"/>
            <w:hideMark/>
          </w:tcPr>
          <w:p w14:paraId="483A7EDF" w14:textId="61AF1A7D"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b/>
                <w:bCs/>
                <w:color w:val="000000"/>
                <w:sz w:val="18"/>
                <w:szCs w:val="18"/>
              </w:rPr>
              <w:t>0.77%</w:t>
            </w:r>
          </w:p>
        </w:tc>
        <w:tc>
          <w:tcPr>
            <w:tcW w:w="875" w:type="dxa"/>
            <w:tcBorders>
              <w:top w:val="nil"/>
              <w:left w:val="nil"/>
              <w:bottom w:val="single" w:sz="4" w:space="0" w:color="BFBFBF"/>
              <w:right w:val="single" w:sz="4" w:space="0" w:color="BFBFBF"/>
            </w:tcBorders>
            <w:shd w:val="clear" w:color="000000" w:fill="FFFFFF"/>
            <w:vAlign w:val="center"/>
          </w:tcPr>
          <w:p w14:paraId="07221DE3" w14:textId="08A222A7"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32.92</w:t>
            </w:r>
          </w:p>
        </w:tc>
        <w:tc>
          <w:tcPr>
            <w:tcW w:w="854" w:type="dxa"/>
            <w:tcBorders>
              <w:top w:val="nil"/>
              <w:left w:val="nil"/>
              <w:bottom w:val="single" w:sz="4" w:space="0" w:color="BFBFBF"/>
              <w:right w:val="single" w:sz="4" w:space="0" w:color="BFBFBF"/>
            </w:tcBorders>
            <w:shd w:val="clear" w:color="000000" w:fill="FFFFFF"/>
            <w:vAlign w:val="center"/>
            <w:hideMark/>
          </w:tcPr>
          <w:p w14:paraId="42E13E05" w14:textId="6A22BD1A"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37.31</w:t>
            </w:r>
          </w:p>
        </w:tc>
        <w:tc>
          <w:tcPr>
            <w:tcW w:w="1082" w:type="dxa"/>
            <w:tcBorders>
              <w:top w:val="nil"/>
              <w:left w:val="nil"/>
              <w:bottom w:val="single" w:sz="4" w:space="0" w:color="BFBFBF"/>
              <w:right w:val="single" w:sz="4" w:space="0" w:color="BFBFBF"/>
            </w:tcBorders>
            <w:shd w:val="clear" w:color="000000" w:fill="FFFFFF"/>
            <w:vAlign w:val="center"/>
            <w:hideMark/>
          </w:tcPr>
          <w:p w14:paraId="56151444" w14:textId="6E1F3E9B"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4.38</w:t>
            </w:r>
          </w:p>
        </w:tc>
        <w:tc>
          <w:tcPr>
            <w:tcW w:w="413" w:type="dxa"/>
            <w:tcBorders>
              <w:top w:val="single" w:sz="4" w:space="0" w:color="BFBFBF"/>
              <w:left w:val="single" w:sz="4" w:space="0" w:color="BFBFBF"/>
              <w:bottom w:val="nil"/>
              <w:right w:val="single" w:sz="4" w:space="0" w:color="FFFFFF"/>
            </w:tcBorders>
            <w:noWrap/>
            <w:vAlign w:val="bottom"/>
            <w:hideMark/>
          </w:tcPr>
          <w:p w14:paraId="01B7555D" w14:textId="1FF9E183" w:rsidR="006E54CE" w:rsidRPr="00234657" w:rsidRDefault="006E54CE" w:rsidP="006E54CE">
            <w:pPr>
              <w:spacing w:after="0" w:line="240" w:lineRule="auto"/>
              <w:jc w:val="right"/>
              <w:rPr>
                <w:rFonts w:ascii="Wingdings 3" w:eastAsia="Times New Roman" w:hAnsi="Wingdings 3" w:cs="Calibri"/>
                <w:highlight w:val="yellow"/>
                <w:lang w:eastAsia="en-GB"/>
              </w:rPr>
            </w:pPr>
            <w:r>
              <w:rPr>
                <w:rFonts w:ascii="Calibri" w:hAnsi="Calibri" w:cs="Calibri"/>
                <w:color w:val="000000"/>
              </w:rPr>
              <w:t> </w:t>
            </w:r>
          </w:p>
        </w:tc>
        <w:tc>
          <w:tcPr>
            <w:tcW w:w="1054" w:type="dxa"/>
            <w:tcBorders>
              <w:top w:val="nil"/>
              <w:left w:val="nil"/>
              <w:bottom w:val="single" w:sz="4" w:space="0" w:color="BFBFBF"/>
              <w:right w:val="single" w:sz="8" w:space="0" w:color="auto"/>
            </w:tcBorders>
            <w:noWrap/>
            <w:vAlign w:val="center"/>
            <w:hideMark/>
          </w:tcPr>
          <w:p w14:paraId="71529066" w14:textId="381403D7"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b/>
                <w:bCs/>
                <w:color w:val="000000"/>
                <w:sz w:val="18"/>
                <w:szCs w:val="18"/>
              </w:rPr>
              <w:t>11.75%</w:t>
            </w:r>
          </w:p>
        </w:tc>
      </w:tr>
      <w:tr w:rsidR="006E54CE" w:rsidRPr="00693825" w14:paraId="7752AA9E" w14:textId="77777777" w:rsidTr="00CD7358">
        <w:trPr>
          <w:trHeight w:val="315"/>
        </w:trPr>
        <w:tc>
          <w:tcPr>
            <w:tcW w:w="1800" w:type="dxa"/>
            <w:tcBorders>
              <w:top w:val="nil"/>
              <w:left w:val="single" w:sz="8" w:space="0" w:color="auto"/>
              <w:bottom w:val="single" w:sz="8" w:space="0" w:color="auto"/>
              <w:right w:val="single" w:sz="4" w:space="0" w:color="BFBFBF"/>
            </w:tcBorders>
            <w:shd w:val="clear" w:color="000000" w:fill="D9E1F2"/>
            <w:noWrap/>
            <w:vAlign w:val="center"/>
            <w:hideMark/>
          </w:tcPr>
          <w:p w14:paraId="00CFF5D9" w14:textId="77777777" w:rsidR="006E54CE" w:rsidRPr="00693825" w:rsidRDefault="006E54CE" w:rsidP="006E54CE">
            <w:pPr>
              <w:spacing w:after="0" w:line="240" w:lineRule="auto"/>
              <w:rPr>
                <w:rFonts w:ascii="Calibri" w:eastAsia="Times New Roman" w:hAnsi="Calibri" w:cs="Calibri"/>
                <w:b/>
                <w:bCs/>
                <w:sz w:val="20"/>
                <w:szCs w:val="20"/>
                <w:lang w:eastAsia="en-GB"/>
              </w:rPr>
            </w:pPr>
            <w:r w:rsidRPr="00693825">
              <w:rPr>
                <w:rFonts w:ascii="Calibri" w:eastAsia="Times New Roman" w:hAnsi="Calibri" w:cs="Calibri"/>
                <w:b/>
                <w:bCs/>
                <w:sz w:val="20"/>
                <w:szCs w:val="20"/>
                <w:lang w:eastAsia="en-GB"/>
              </w:rPr>
              <w:t>Gender Pay Gap %</w:t>
            </w:r>
          </w:p>
        </w:tc>
        <w:tc>
          <w:tcPr>
            <w:tcW w:w="875" w:type="dxa"/>
            <w:tcBorders>
              <w:top w:val="nil"/>
              <w:left w:val="nil"/>
              <w:bottom w:val="single" w:sz="8" w:space="0" w:color="auto"/>
              <w:right w:val="single" w:sz="4" w:space="0" w:color="BFBFBF"/>
            </w:tcBorders>
            <w:shd w:val="clear" w:color="000000" w:fill="FFFFFF"/>
            <w:vAlign w:val="center"/>
            <w:hideMark/>
          </w:tcPr>
          <w:p w14:paraId="451741ED" w14:textId="340C9438"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45.88%</w:t>
            </w:r>
          </w:p>
        </w:tc>
        <w:tc>
          <w:tcPr>
            <w:tcW w:w="816" w:type="dxa"/>
            <w:tcBorders>
              <w:top w:val="nil"/>
              <w:left w:val="nil"/>
              <w:bottom w:val="single" w:sz="8" w:space="0" w:color="auto"/>
              <w:right w:val="single" w:sz="4" w:space="0" w:color="BFBFBF"/>
            </w:tcBorders>
            <w:shd w:val="clear" w:color="000000" w:fill="FFFFFF"/>
            <w:vAlign w:val="center"/>
            <w:hideMark/>
          </w:tcPr>
          <w:p w14:paraId="2848EE80" w14:textId="2AED24B7"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43.97%</w:t>
            </w:r>
          </w:p>
        </w:tc>
        <w:tc>
          <w:tcPr>
            <w:tcW w:w="1082" w:type="dxa"/>
            <w:tcBorders>
              <w:top w:val="nil"/>
              <w:left w:val="nil"/>
              <w:bottom w:val="single" w:sz="8" w:space="0" w:color="auto"/>
              <w:right w:val="single" w:sz="4" w:space="0" w:color="BFBFBF"/>
            </w:tcBorders>
            <w:shd w:val="clear" w:color="000000" w:fill="FFFFFF"/>
            <w:vAlign w:val="center"/>
            <w:hideMark/>
          </w:tcPr>
          <w:p w14:paraId="10F27BCB" w14:textId="1488289F"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-1.90%</w:t>
            </w:r>
          </w:p>
        </w:tc>
        <w:tc>
          <w:tcPr>
            <w:tcW w:w="413" w:type="dxa"/>
            <w:tcBorders>
              <w:top w:val="single" w:sz="4" w:space="0" w:color="BFBFBF"/>
              <w:left w:val="single" w:sz="4" w:space="0" w:color="BFBFBF"/>
              <w:bottom w:val="single" w:sz="8" w:space="0" w:color="auto"/>
              <w:right w:val="single" w:sz="4" w:space="0" w:color="FFFFFF"/>
            </w:tcBorders>
            <w:noWrap/>
            <w:vAlign w:val="center"/>
            <w:hideMark/>
          </w:tcPr>
          <w:p w14:paraId="4183E5AD" w14:textId="62F9449E" w:rsidR="006E54CE" w:rsidRPr="00234657" w:rsidRDefault="006E54CE" w:rsidP="006E54CE">
            <w:pPr>
              <w:spacing w:after="0" w:line="240" w:lineRule="auto"/>
              <w:jc w:val="right"/>
              <w:rPr>
                <w:rFonts w:ascii="Wingdings 3" w:eastAsia="Times New Roman" w:hAnsi="Wingdings 3" w:cs="Calibri"/>
                <w:highlight w:val="yellow"/>
                <w:lang w:eastAsia="en-GB"/>
              </w:rPr>
            </w:pPr>
            <w:r>
              <w:rPr>
                <w:rFonts w:ascii="Wingdings 3" w:hAnsi="Wingdings 3" w:cs="Calibri"/>
                <w:color w:val="00B050"/>
              </w:rPr>
              <w:t>È</w:t>
            </w:r>
          </w:p>
        </w:tc>
        <w:tc>
          <w:tcPr>
            <w:tcW w:w="996" w:type="dxa"/>
            <w:tcBorders>
              <w:top w:val="nil"/>
              <w:left w:val="nil"/>
              <w:bottom w:val="single" w:sz="8" w:space="0" w:color="auto"/>
              <w:right w:val="single" w:sz="4" w:space="0" w:color="BFBFBF"/>
            </w:tcBorders>
            <w:noWrap/>
            <w:vAlign w:val="center"/>
            <w:hideMark/>
          </w:tcPr>
          <w:p w14:paraId="7C0EE9E6" w14:textId="618AE890"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b/>
                <w:bCs/>
                <w:color w:val="000000"/>
                <w:sz w:val="18"/>
                <w:szCs w:val="18"/>
              </w:rPr>
              <w:t>-4.33%</w:t>
            </w:r>
          </w:p>
        </w:tc>
        <w:tc>
          <w:tcPr>
            <w:tcW w:w="875" w:type="dxa"/>
            <w:tcBorders>
              <w:top w:val="nil"/>
              <w:left w:val="nil"/>
              <w:bottom w:val="single" w:sz="8" w:space="0" w:color="auto"/>
              <w:right w:val="single" w:sz="4" w:space="0" w:color="BFBFBF"/>
            </w:tcBorders>
            <w:shd w:val="clear" w:color="000000" w:fill="FFFFFF"/>
            <w:vAlign w:val="center"/>
          </w:tcPr>
          <w:p w14:paraId="63300467" w14:textId="53990A48"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72.42%</w:t>
            </w:r>
          </w:p>
        </w:tc>
        <w:tc>
          <w:tcPr>
            <w:tcW w:w="854" w:type="dxa"/>
            <w:tcBorders>
              <w:top w:val="nil"/>
              <w:left w:val="nil"/>
              <w:bottom w:val="single" w:sz="8" w:space="0" w:color="auto"/>
              <w:right w:val="single" w:sz="4" w:space="0" w:color="BFBFBF"/>
            </w:tcBorders>
            <w:shd w:val="clear" w:color="000000" w:fill="FFFFFF"/>
            <w:vAlign w:val="center"/>
            <w:hideMark/>
          </w:tcPr>
          <w:p w14:paraId="4425DA54" w14:textId="09B162E2"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73.47%</w:t>
            </w:r>
          </w:p>
        </w:tc>
        <w:tc>
          <w:tcPr>
            <w:tcW w:w="1082" w:type="dxa"/>
            <w:tcBorders>
              <w:top w:val="nil"/>
              <w:left w:val="nil"/>
              <w:bottom w:val="single" w:sz="8" w:space="0" w:color="auto"/>
              <w:right w:val="single" w:sz="4" w:space="0" w:color="BFBFBF"/>
            </w:tcBorders>
            <w:shd w:val="clear" w:color="000000" w:fill="FFFFFF"/>
            <w:vAlign w:val="center"/>
            <w:hideMark/>
          </w:tcPr>
          <w:p w14:paraId="7B35AC77" w14:textId="13D7A294"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color w:val="000000"/>
                <w:sz w:val="20"/>
                <w:szCs w:val="20"/>
              </w:rPr>
              <w:t>1.05%</w:t>
            </w:r>
          </w:p>
        </w:tc>
        <w:tc>
          <w:tcPr>
            <w:tcW w:w="413" w:type="dxa"/>
            <w:tcBorders>
              <w:top w:val="single" w:sz="4" w:space="0" w:color="BFBFBF"/>
              <w:left w:val="single" w:sz="4" w:space="0" w:color="BFBFBF"/>
              <w:bottom w:val="single" w:sz="8" w:space="0" w:color="auto"/>
              <w:right w:val="single" w:sz="4" w:space="0" w:color="FFFFFF"/>
            </w:tcBorders>
            <w:noWrap/>
            <w:vAlign w:val="center"/>
            <w:hideMark/>
          </w:tcPr>
          <w:p w14:paraId="55265D45" w14:textId="4B886EBE" w:rsidR="006E54CE" w:rsidRPr="00234657" w:rsidRDefault="006E54CE" w:rsidP="006E54CE">
            <w:pPr>
              <w:spacing w:after="0" w:line="240" w:lineRule="auto"/>
              <w:jc w:val="right"/>
              <w:rPr>
                <w:rFonts w:ascii="Wingdings 3" w:eastAsia="Times New Roman" w:hAnsi="Wingdings 3" w:cs="Calibri"/>
                <w:highlight w:val="yellow"/>
                <w:lang w:eastAsia="en-GB"/>
              </w:rPr>
            </w:pPr>
            <w:r>
              <w:rPr>
                <w:rFonts w:ascii="Wingdings 3" w:hAnsi="Wingdings 3" w:cs="Calibri"/>
                <w:color w:val="FF0000"/>
              </w:rPr>
              <w:t>Ç</w:t>
            </w:r>
          </w:p>
        </w:tc>
        <w:tc>
          <w:tcPr>
            <w:tcW w:w="1054" w:type="dxa"/>
            <w:tcBorders>
              <w:top w:val="nil"/>
              <w:left w:val="nil"/>
              <w:bottom w:val="single" w:sz="8" w:space="0" w:color="auto"/>
              <w:right w:val="single" w:sz="8" w:space="0" w:color="auto"/>
            </w:tcBorders>
            <w:noWrap/>
            <w:vAlign w:val="center"/>
            <w:hideMark/>
          </w:tcPr>
          <w:p w14:paraId="3BD50CA3" w14:textId="36BC406C" w:rsidR="006E54CE" w:rsidRPr="00234657" w:rsidRDefault="006E54CE" w:rsidP="006E54CE">
            <w:pPr>
              <w:spacing w:after="0" w:line="240" w:lineRule="auto"/>
              <w:jc w:val="right"/>
              <w:rPr>
                <w:rFonts w:ascii="Calibri" w:eastAsia="Times New Roman" w:hAnsi="Calibri" w:cs="Calibri"/>
                <w:sz w:val="20"/>
                <w:szCs w:val="20"/>
                <w:highlight w:val="yellow"/>
                <w:lang w:eastAsia="en-GB"/>
              </w:rPr>
            </w:pPr>
            <w:r>
              <w:rPr>
                <w:rFonts w:ascii="Calibri" w:hAnsi="Calibri" w:cs="Calibri"/>
                <w:b/>
                <w:bCs/>
                <w:color w:val="000000"/>
                <w:sz w:val="18"/>
                <w:szCs w:val="18"/>
              </w:rPr>
              <w:t>1.43%</w:t>
            </w:r>
          </w:p>
        </w:tc>
      </w:tr>
    </w:tbl>
    <w:p w14:paraId="27E44AFB" w14:textId="51B35FD5" w:rsidR="003303EF" w:rsidRPr="00693825" w:rsidRDefault="00AB53A7" w:rsidP="00583425">
      <w:pPr>
        <w:pStyle w:val="Default"/>
        <w:ind w:left="360"/>
        <w:jc w:val="right"/>
        <w:rPr>
          <w:b/>
          <w:bCs/>
          <w:color w:val="auto"/>
          <w:sz w:val="22"/>
          <w:szCs w:val="22"/>
        </w:rPr>
      </w:pPr>
      <w:r w:rsidRPr="00693825">
        <w:rPr>
          <w:b/>
          <w:bCs/>
          <w:color w:val="auto"/>
          <w:sz w:val="22"/>
          <w:szCs w:val="22"/>
        </w:rPr>
        <w:t>Table 1</w:t>
      </w:r>
    </w:p>
    <w:p w14:paraId="7740548C" w14:textId="77777777" w:rsidR="00583425" w:rsidRPr="00693825" w:rsidRDefault="00583425" w:rsidP="008A2B0C">
      <w:pPr>
        <w:pStyle w:val="Default"/>
        <w:rPr>
          <w:color w:val="auto"/>
          <w:sz w:val="22"/>
          <w:szCs w:val="22"/>
        </w:rPr>
      </w:pPr>
    </w:p>
    <w:p w14:paraId="3A7D4B4E" w14:textId="3F36873E" w:rsidR="00435605" w:rsidRPr="00693825" w:rsidRDefault="008A2B0C" w:rsidP="008A2B0C">
      <w:pPr>
        <w:pStyle w:val="Default"/>
        <w:rPr>
          <w:color w:val="auto"/>
          <w:sz w:val="22"/>
          <w:szCs w:val="22"/>
        </w:rPr>
      </w:pPr>
      <w:r w:rsidRPr="00693825">
        <w:rPr>
          <w:color w:val="auto"/>
          <w:sz w:val="22"/>
          <w:szCs w:val="22"/>
        </w:rPr>
        <w:lastRenderedPageBreak/>
        <w:t xml:space="preserve">The mean hourly rate for </w:t>
      </w:r>
      <w:r w:rsidRPr="00CD7358">
        <w:rPr>
          <w:color w:val="auto"/>
          <w:sz w:val="22"/>
          <w:szCs w:val="22"/>
        </w:rPr>
        <w:t xml:space="preserve">female staff has </w:t>
      </w:r>
      <w:r w:rsidR="00CD7358" w:rsidRPr="00CD7358">
        <w:rPr>
          <w:color w:val="auto"/>
          <w:sz w:val="22"/>
          <w:szCs w:val="22"/>
        </w:rPr>
        <w:t>increased</w:t>
      </w:r>
      <w:r w:rsidRPr="00CD7358">
        <w:rPr>
          <w:color w:val="auto"/>
          <w:sz w:val="22"/>
          <w:szCs w:val="22"/>
        </w:rPr>
        <w:t xml:space="preserve"> by </w:t>
      </w:r>
      <w:r w:rsidR="006073A4" w:rsidRPr="00CD7358">
        <w:rPr>
          <w:color w:val="auto"/>
          <w:sz w:val="22"/>
          <w:szCs w:val="22"/>
        </w:rPr>
        <w:t>£</w:t>
      </w:r>
      <w:r w:rsidR="006E54CE">
        <w:rPr>
          <w:color w:val="auto"/>
          <w:sz w:val="22"/>
          <w:szCs w:val="22"/>
        </w:rPr>
        <w:t>1.84</w:t>
      </w:r>
      <w:r w:rsidRPr="00CD7358">
        <w:rPr>
          <w:color w:val="auto"/>
          <w:sz w:val="22"/>
          <w:szCs w:val="22"/>
        </w:rPr>
        <w:t xml:space="preserve"> over the </w:t>
      </w:r>
      <w:r w:rsidR="003D3F89" w:rsidRPr="00CD7358">
        <w:rPr>
          <w:color w:val="auto"/>
          <w:sz w:val="22"/>
          <w:szCs w:val="22"/>
        </w:rPr>
        <w:t>202</w:t>
      </w:r>
      <w:r w:rsidR="006E54CE">
        <w:rPr>
          <w:color w:val="auto"/>
          <w:sz w:val="22"/>
          <w:szCs w:val="22"/>
        </w:rPr>
        <w:t>4</w:t>
      </w:r>
      <w:r w:rsidRPr="00CD7358">
        <w:rPr>
          <w:color w:val="auto"/>
          <w:sz w:val="22"/>
          <w:szCs w:val="22"/>
        </w:rPr>
        <w:t xml:space="preserve"> rate (a</w:t>
      </w:r>
      <w:r w:rsidR="00CD7358" w:rsidRPr="00CD7358">
        <w:rPr>
          <w:color w:val="auto"/>
          <w:sz w:val="22"/>
          <w:szCs w:val="22"/>
        </w:rPr>
        <w:t xml:space="preserve">n increase </w:t>
      </w:r>
      <w:r w:rsidRPr="00CD7358">
        <w:rPr>
          <w:color w:val="auto"/>
          <w:sz w:val="22"/>
          <w:szCs w:val="22"/>
        </w:rPr>
        <w:t xml:space="preserve">of </w:t>
      </w:r>
      <w:r w:rsidR="006E54CE">
        <w:rPr>
          <w:color w:val="auto"/>
          <w:sz w:val="22"/>
          <w:szCs w:val="22"/>
        </w:rPr>
        <w:t>8</w:t>
      </w:r>
      <w:r w:rsidR="00CD7358" w:rsidRPr="00CD7358">
        <w:rPr>
          <w:color w:val="auto"/>
          <w:sz w:val="22"/>
          <w:szCs w:val="22"/>
        </w:rPr>
        <w:t>.</w:t>
      </w:r>
      <w:r w:rsidR="006E54CE">
        <w:rPr>
          <w:color w:val="auto"/>
          <w:sz w:val="22"/>
          <w:szCs w:val="22"/>
        </w:rPr>
        <w:t>11</w:t>
      </w:r>
      <w:r w:rsidRPr="00CD7358">
        <w:rPr>
          <w:color w:val="auto"/>
          <w:sz w:val="22"/>
          <w:szCs w:val="22"/>
        </w:rPr>
        <w:t>%), whi</w:t>
      </w:r>
      <w:r w:rsidR="00137FE5" w:rsidRPr="00CD7358">
        <w:rPr>
          <w:color w:val="auto"/>
          <w:sz w:val="22"/>
          <w:szCs w:val="22"/>
        </w:rPr>
        <w:t>le</w:t>
      </w:r>
      <w:r w:rsidRPr="00CD7358">
        <w:rPr>
          <w:color w:val="auto"/>
          <w:sz w:val="22"/>
          <w:szCs w:val="22"/>
        </w:rPr>
        <w:t xml:space="preserve"> the mean hourly rate for male staff has increased by </w:t>
      </w:r>
      <w:r w:rsidR="006073A4" w:rsidRPr="00CD7358">
        <w:rPr>
          <w:color w:val="auto"/>
          <w:sz w:val="22"/>
          <w:szCs w:val="22"/>
        </w:rPr>
        <w:t>£</w:t>
      </w:r>
      <w:r w:rsidR="006E54CE">
        <w:rPr>
          <w:color w:val="auto"/>
          <w:sz w:val="22"/>
          <w:szCs w:val="22"/>
        </w:rPr>
        <w:t>1</w:t>
      </w:r>
      <w:r w:rsidRPr="00CD7358">
        <w:rPr>
          <w:color w:val="auto"/>
          <w:sz w:val="22"/>
          <w:szCs w:val="22"/>
        </w:rPr>
        <w:t>.</w:t>
      </w:r>
      <w:r w:rsidR="006E54CE">
        <w:rPr>
          <w:color w:val="auto"/>
          <w:sz w:val="22"/>
          <w:szCs w:val="22"/>
        </w:rPr>
        <w:t>98</w:t>
      </w:r>
      <w:r w:rsidRPr="00CD7358">
        <w:rPr>
          <w:color w:val="auto"/>
          <w:sz w:val="22"/>
          <w:szCs w:val="22"/>
        </w:rPr>
        <w:t xml:space="preserve"> (</w:t>
      </w:r>
      <w:r w:rsidR="006E54CE">
        <w:rPr>
          <w:color w:val="auto"/>
          <w:sz w:val="22"/>
          <w:szCs w:val="22"/>
        </w:rPr>
        <w:t>4</w:t>
      </w:r>
      <w:r w:rsidR="00CD7358" w:rsidRPr="00CD7358">
        <w:rPr>
          <w:color w:val="auto"/>
          <w:sz w:val="22"/>
          <w:szCs w:val="22"/>
        </w:rPr>
        <w:t>.</w:t>
      </w:r>
      <w:r w:rsidR="006E54CE">
        <w:rPr>
          <w:color w:val="auto"/>
          <w:sz w:val="22"/>
          <w:szCs w:val="22"/>
        </w:rPr>
        <w:t>88</w:t>
      </w:r>
      <w:r w:rsidRPr="00CD7358">
        <w:rPr>
          <w:color w:val="auto"/>
          <w:sz w:val="22"/>
          <w:szCs w:val="22"/>
        </w:rPr>
        <w:t xml:space="preserve">%).  The Gender Pay Gap has </w:t>
      </w:r>
      <w:r w:rsidR="006E54CE">
        <w:rPr>
          <w:color w:val="auto"/>
          <w:sz w:val="22"/>
          <w:szCs w:val="22"/>
        </w:rPr>
        <w:t>decreased</w:t>
      </w:r>
      <w:r w:rsidRPr="00CD7358">
        <w:rPr>
          <w:color w:val="auto"/>
          <w:sz w:val="22"/>
          <w:szCs w:val="22"/>
        </w:rPr>
        <w:t xml:space="preserve"> </w:t>
      </w:r>
      <w:r w:rsidR="006E54CE">
        <w:rPr>
          <w:color w:val="auto"/>
          <w:sz w:val="22"/>
          <w:szCs w:val="22"/>
        </w:rPr>
        <w:t>by 4</w:t>
      </w:r>
      <w:r w:rsidR="00CD7358" w:rsidRPr="00CD7358">
        <w:rPr>
          <w:color w:val="auto"/>
          <w:sz w:val="22"/>
          <w:szCs w:val="22"/>
        </w:rPr>
        <w:t>.</w:t>
      </w:r>
      <w:r w:rsidR="006E54CE">
        <w:rPr>
          <w:color w:val="auto"/>
          <w:sz w:val="22"/>
          <w:szCs w:val="22"/>
        </w:rPr>
        <w:t>33</w:t>
      </w:r>
      <w:r w:rsidRPr="00CD7358">
        <w:rPr>
          <w:color w:val="auto"/>
          <w:sz w:val="22"/>
          <w:szCs w:val="22"/>
        </w:rPr>
        <w:t xml:space="preserve"> percentage points to </w:t>
      </w:r>
      <w:r w:rsidR="00CD7358" w:rsidRPr="00CD7358">
        <w:rPr>
          <w:color w:val="auto"/>
          <w:sz w:val="22"/>
          <w:szCs w:val="22"/>
        </w:rPr>
        <w:t>4</w:t>
      </w:r>
      <w:r w:rsidR="006E54CE">
        <w:rPr>
          <w:color w:val="auto"/>
          <w:sz w:val="22"/>
          <w:szCs w:val="22"/>
        </w:rPr>
        <w:t>3</w:t>
      </w:r>
      <w:r w:rsidR="00CD7358" w:rsidRPr="00CD7358">
        <w:rPr>
          <w:color w:val="auto"/>
          <w:sz w:val="22"/>
          <w:szCs w:val="22"/>
        </w:rPr>
        <w:t>.</w:t>
      </w:r>
      <w:r w:rsidR="006E54CE">
        <w:rPr>
          <w:color w:val="auto"/>
          <w:sz w:val="22"/>
          <w:szCs w:val="22"/>
        </w:rPr>
        <w:t>97</w:t>
      </w:r>
      <w:r w:rsidR="00CD7358" w:rsidRPr="00CD7358">
        <w:rPr>
          <w:color w:val="auto"/>
          <w:sz w:val="22"/>
          <w:szCs w:val="22"/>
        </w:rPr>
        <w:t>%.</w:t>
      </w:r>
    </w:p>
    <w:p w14:paraId="6A83D862" w14:textId="77777777" w:rsidR="008A2B0C" w:rsidRPr="00693825" w:rsidRDefault="008A2B0C" w:rsidP="008A2B0C">
      <w:pPr>
        <w:pStyle w:val="Default"/>
        <w:rPr>
          <w:color w:val="auto"/>
          <w:sz w:val="22"/>
          <w:szCs w:val="22"/>
        </w:rPr>
      </w:pPr>
    </w:p>
    <w:p w14:paraId="2B0F369C" w14:textId="3631724F" w:rsidR="008A2B0C" w:rsidRPr="00693825" w:rsidRDefault="008A2B0C" w:rsidP="008A2B0C">
      <w:pPr>
        <w:pStyle w:val="Default"/>
        <w:rPr>
          <w:color w:val="auto"/>
          <w:sz w:val="22"/>
          <w:szCs w:val="22"/>
        </w:rPr>
      </w:pPr>
      <w:r w:rsidRPr="00CD7358">
        <w:rPr>
          <w:color w:val="auto"/>
          <w:sz w:val="22"/>
          <w:szCs w:val="22"/>
        </w:rPr>
        <w:t xml:space="preserve">Similarly, the </w:t>
      </w:r>
      <w:r w:rsidR="00137FE5" w:rsidRPr="00CD7358">
        <w:rPr>
          <w:color w:val="auto"/>
          <w:sz w:val="22"/>
          <w:szCs w:val="22"/>
        </w:rPr>
        <w:t xml:space="preserve">median hourly rate for female staff </w:t>
      </w:r>
      <w:r w:rsidR="00CD7358" w:rsidRPr="00CD7358">
        <w:rPr>
          <w:color w:val="auto"/>
          <w:sz w:val="22"/>
          <w:szCs w:val="22"/>
        </w:rPr>
        <w:t>increased</w:t>
      </w:r>
      <w:r w:rsidR="00137FE5" w:rsidRPr="00CD7358">
        <w:rPr>
          <w:color w:val="auto"/>
          <w:sz w:val="22"/>
          <w:szCs w:val="22"/>
        </w:rPr>
        <w:t xml:space="preserve"> </w:t>
      </w:r>
      <w:r w:rsidR="00CD7358" w:rsidRPr="00CD7358">
        <w:rPr>
          <w:color w:val="auto"/>
          <w:sz w:val="22"/>
          <w:szCs w:val="22"/>
        </w:rPr>
        <w:t>f</w:t>
      </w:r>
      <w:r w:rsidR="00137FE5" w:rsidRPr="00CD7358">
        <w:rPr>
          <w:color w:val="auto"/>
          <w:sz w:val="22"/>
          <w:szCs w:val="22"/>
        </w:rPr>
        <w:t>rom £1</w:t>
      </w:r>
      <w:r w:rsidR="00CD7358" w:rsidRPr="00CD7358">
        <w:rPr>
          <w:color w:val="auto"/>
          <w:sz w:val="22"/>
          <w:szCs w:val="22"/>
        </w:rPr>
        <w:t>2.</w:t>
      </w:r>
      <w:r w:rsidR="006E54CE">
        <w:rPr>
          <w:color w:val="auto"/>
          <w:sz w:val="22"/>
          <w:szCs w:val="22"/>
        </w:rPr>
        <w:t>54</w:t>
      </w:r>
      <w:r w:rsidR="00137FE5" w:rsidRPr="00CD7358">
        <w:rPr>
          <w:color w:val="auto"/>
          <w:sz w:val="22"/>
          <w:szCs w:val="22"/>
        </w:rPr>
        <w:t xml:space="preserve"> in </w:t>
      </w:r>
      <w:r w:rsidR="003D3F89" w:rsidRPr="00CD7358">
        <w:rPr>
          <w:color w:val="auto"/>
          <w:sz w:val="22"/>
          <w:szCs w:val="22"/>
        </w:rPr>
        <w:t>202</w:t>
      </w:r>
      <w:r w:rsidR="006E54CE">
        <w:rPr>
          <w:color w:val="auto"/>
          <w:sz w:val="22"/>
          <w:szCs w:val="22"/>
        </w:rPr>
        <w:t>4</w:t>
      </w:r>
      <w:r w:rsidR="00137FE5" w:rsidRPr="00CD7358">
        <w:rPr>
          <w:color w:val="auto"/>
          <w:sz w:val="22"/>
          <w:szCs w:val="22"/>
        </w:rPr>
        <w:t xml:space="preserve"> to £1</w:t>
      </w:r>
      <w:r w:rsidR="006E54CE">
        <w:rPr>
          <w:color w:val="auto"/>
          <w:sz w:val="22"/>
          <w:szCs w:val="22"/>
        </w:rPr>
        <w:t>3</w:t>
      </w:r>
      <w:r w:rsidR="00693825" w:rsidRPr="00CD7358">
        <w:rPr>
          <w:color w:val="auto"/>
          <w:sz w:val="22"/>
          <w:szCs w:val="22"/>
        </w:rPr>
        <w:t>.</w:t>
      </w:r>
      <w:r w:rsidR="006E54CE">
        <w:rPr>
          <w:color w:val="auto"/>
          <w:sz w:val="22"/>
          <w:szCs w:val="22"/>
        </w:rPr>
        <w:t>47</w:t>
      </w:r>
      <w:r w:rsidR="00137FE5" w:rsidRPr="00CD7358">
        <w:rPr>
          <w:color w:val="auto"/>
          <w:sz w:val="22"/>
          <w:szCs w:val="22"/>
        </w:rPr>
        <w:t xml:space="preserve"> in </w:t>
      </w:r>
      <w:r w:rsidR="003D3F89" w:rsidRPr="00CD7358">
        <w:rPr>
          <w:color w:val="auto"/>
          <w:sz w:val="22"/>
          <w:szCs w:val="22"/>
        </w:rPr>
        <w:t>202</w:t>
      </w:r>
      <w:r w:rsidR="006E54CE">
        <w:rPr>
          <w:color w:val="auto"/>
          <w:sz w:val="22"/>
          <w:szCs w:val="22"/>
        </w:rPr>
        <w:t>5</w:t>
      </w:r>
      <w:r w:rsidR="00137FE5" w:rsidRPr="00CD7358">
        <w:rPr>
          <w:color w:val="auto"/>
          <w:sz w:val="22"/>
          <w:szCs w:val="22"/>
        </w:rPr>
        <w:t xml:space="preserve"> (a</w:t>
      </w:r>
      <w:r w:rsidR="00CD7358" w:rsidRPr="00CD7358">
        <w:rPr>
          <w:color w:val="auto"/>
          <w:sz w:val="22"/>
          <w:szCs w:val="22"/>
        </w:rPr>
        <w:t xml:space="preserve">n increase </w:t>
      </w:r>
      <w:r w:rsidR="00137FE5" w:rsidRPr="00CD7358">
        <w:rPr>
          <w:color w:val="auto"/>
          <w:sz w:val="22"/>
          <w:szCs w:val="22"/>
        </w:rPr>
        <w:t xml:space="preserve">of </w:t>
      </w:r>
      <w:r w:rsidR="006E54CE">
        <w:rPr>
          <w:color w:val="auto"/>
          <w:sz w:val="22"/>
          <w:szCs w:val="22"/>
        </w:rPr>
        <w:t>6</w:t>
      </w:r>
      <w:r w:rsidR="00693825" w:rsidRPr="00CD7358">
        <w:rPr>
          <w:color w:val="auto"/>
          <w:sz w:val="22"/>
          <w:szCs w:val="22"/>
        </w:rPr>
        <w:t>.</w:t>
      </w:r>
      <w:r w:rsidR="006E54CE">
        <w:rPr>
          <w:color w:val="auto"/>
          <w:sz w:val="22"/>
          <w:szCs w:val="22"/>
        </w:rPr>
        <w:t>92</w:t>
      </w:r>
      <w:r w:rsidR="00137FE5" w:rsidRPr="00CD7358">
        <w:rPr>
          <w:color w:val="auto"/>
          <w:sz w:val="22"/>
          <w:szCs w:val="22"/>
        </w:rPr>
        <w:t xml:space="preserve">%), with the male staff’s median hourly rate increasing by </w:t>
      </w:r>
      <w:r w:rsidR="00CD7358" w:rsidRPr="00CD7358">
        <w:rPr>
          <w:color w:val="auto"/>
          <w:sz w:val="22"/>
          <w:szCs w:val="22"/>
        </w:rPr>
        <w:t>1</w:t>
      </w:r>
      <w:r w:rsidR="006E54CE">
        <w:rPr>
          <w:color w:val="auto"/>
          <w:sz w:val="22"/>
          <w:szCs w:val="22"/>
        </w:rPr>
        <w:t>0</w:t>
      </w:r>
      <w:r w:rsidR="00CD7358" w:rsidRPr="00CD7358">
        <w:rPr>
          <w:color w:val="auto"/>
          <w:sz w:val="22"/>
          <w:szCs w:val="22"/>
        </w:rPr>
        <w:t>.</w:t>
      </w:r>
      <w:r w:rsidR="006E54CE">
        <w:rPr>
          <w:color w:val="auto"/>
          <w:sz w:val="22"/>
          <w:szCs w:val="22"/>
        </w:rPr>
        <w:t>47</w:t>
      </w:r>
      <w:r w:rsidR="00137FE5" w:rsidRPr="00CD7358">
        <w:rPr>
          <w:color w:val="auto"/>
          <w:sz w:val="22"/>
          <w:szCs w:val="22"/>
        </w:rPr>
        <w:t>%</w:t>
      </w:r>
      <w:r w:rsidR="00693825" w:rsidRPr="00CD7358">
        <w:rPr>
          <w:color w:val="auto"/>
          <w:sz w:val="22"/>
          <w:szCs w:val="22"/>
        </w:rPr>
        <w:t xml:space="preserve"> (£</w:t>
      </w:r>
      <w:r w:rsidR="006E54CE">
        <w:rPr>
          <w:color w:val="auto"/>
          <w:sz w:val="22"/>
          <w:szCs w:val="22"/>
        </w:rPr>
        <w:t>45</w:t>
      </w:r>
      <w:r w:rsidR="00693825" w:rsidRPr="00CD7358">
        <w:rPr>
          <w:color w:val="auto"/>
          <w:sz w:val="22"/>
          <w:szCs w:val="22"/>
        </w:rPr>
        <w:t>.</w:t>
      </w:r>
      <w:r w:rsidR="006E54CE">
        <w:rPr>
          <w:color w:val="auto"/>
          <w:sz w:val="22"/>
          <w:szCs w:val="22"/>
        </w:rPr>
        <w:t>46</w:t>
      </w:r>
      <w:r w:rsidR="00693825" w:rsidRPr="00CD7358">
        <w:rPr>
          <w:color w:val="auto"/>
          <w:sz w:val="22"/>
          <w:szCs w:val="22"/>
        </w:rPr>
        <w:t xml:space="preserve"> to £</w:t>
      </w:r>
      <w:r w:rsidR="006E54CE">
        <w:rPr>
          <w:color w:val="auto"/>
          <w:sz w:val="22"/>
          <w:szCs w:val="22"/>
        </w:rPr>
        <w:t>50</w:t>
      </w:r>
      <w:r w:rsidR="00693825" w:rsidRPr="00CD7358">
        <w:rPr>
          <w:color w:val="auto"/>
          <w:sz w:val="22"/>
          <w:szCs w:val="22"/>
        </w:rPr>
        <w:t>.</w:t>
      </w:r>
      <w:r w:rsidR="006E54CE">
        <w:rPr>
          <w:color w:val="auto"/>
          <w:sz w:val="22"/>
          <w:szCs w:val="22"/>
        </w:rPr>
        <w:t>78</w:t>
      </w:r>
      <w:r w:rsidR="00693825" w:rsidRPr="00CD7358">
        <w:rPr>
          <w:color w:val="auto"/>
          <w:sz w:val="22"/>
          <w:szCs w:val="22"/>
        </w:rPr>
        <w:t>)</w:t>
      </w:r>
      <w:r w:rsidR="00137FE5" w:rsidRPr="00CD7358">
        <w:rPr>
          <w:color w:val="auto"/>
          <w:sz w:val="22"/>
          <w:szCs w:val="22"/>
        </w:rPr>
        <w:t xml:space="preserve">.  There was a </w:t>
      </w:r>
      <w:r w:rsidR="006E54CE">
        <w:rPr>
          <w:color w:val="auto"/>
          <w:sz w:val="22"/>
          <w:szCs w:val="22"/>
        </w:rPr>
        <w:t>1</w:t>
      </w:r>
      <w:r w:rsidR="00CD7358" w:rsidRPr="00CD7358">
        <w:rPr>
          <w:color w:val="auto"/>
          <w:sz w:val="22"/>
          <w:szCs w:val="22"/>
        </w:rPr>
        <w:t>.</w:t>
      </w:r>
      <w:r w:rsidR="006E54CE">
        <w:rPr>
          <w:color w:val="auto"/>
          <w:sz w:val="22"/>
          <w:szCs w:val="22"/>
        </w:rPr>
        <w:t>43</w:t>
      </w:r>
      <w:r w:rsidR="00137FE5" w:rsidRPr="00CD7358">
        <w:rPr>
          <w:color w:val="auto"/>
          <w:sz w:val="22"/>
          <w:szCs w:val="22"/>
        </w:rPr>
        <w:t xml:space="preserve"> </w:t>
      </w:r>
      <w:r w:rsidR="00693825" w:rsidRPr="00CD7358">
        <w:rPr>
          <w:color w:val="auto"/>
          <w:sz w:val="22"/>
          <w:szCs w:val="22"/>
        </w:rPr>
        <w:t>increase</w:t>
      </w:r>
      <w:r w:rsidR="00137FE5" w:rsidRPr="00CD7358">
        <w:rPr>
          <w:color w:val="auto"/>
          <w:sz w:val="22"/>
          <w:szCs w:val="22"/>
        </w:rPr>
        <w:t xml:space="preserve"> in the Gender Pay Gap, to </w:t>
      </w:r>
      <w:r w:rsidR="00CD7358" w:rsidRPr="00CD7358">
        <w:rPr>
          <w:color w:val="auto"/>
          <w:sz w:val="22"/>
          <w:szCs w:val="22"/>
        </w:rPr>
        <w:t>7</w:t>
      </w:r>
      <w:r w:rsidR="006E54CE">
        <w:rPr>
          <w:color w:val="auto"/>
          <w:sz w:val="22"/>
          <w:szCs w:val="22"/>
        </w:rPr>
        <w:t>3</w:t>
      </w:r>
      <w:r w:rsidR="00CD7358" w:rsidRPr="00CD7358">
        <w:rPr>
          <w:color w:val="auto"/>
          <w:sz w:val="22"/>
          <w:szCs w:val="22"/>
        </w:rPr>
        <w:t>.4</w:t>
      </w:r>
      <w:r w:rsidR="006E54CE">
        <w:rPr>
          <w:color w:val="auto"/>
          <w:sz w:val="22"/>
          <w:szCs w:val="22"/>
        </w:rPr>
        <w:t>7</w:t>
      </w:r>
      <w:r w:rsidR="00137FE5" w:rsidRPr="00CD7358">
        <w:rPr>
          <w:color w:val="auto"/>
          <w:sz w:val="22"/>
          <w:szCs w:val="22"/>
        </w:rPr>
        <w:t>%.</w:t>
      </w:r>
    </w:p>
    <w:p w14:paraId="4448E850" w14:textId="77777777" w:rsidR="008A2B0C" w:rsidRPr="0095441D" w:rsidRDefault="008A2B0C" w:rsidP="00435605">
      <w:pPr>
        <w:pStyle w:val="Default"/>
        <w:rPr>
          <w:b/>
          <w:bCs/>
          <w:color w:val="FF0000"/>
          <w:sz w:val="22"/>
          <w:szCs w:val="22"/>
        </w:rPr>
      </w:pPr>
    </w:p>
    <w:p w14:paraId="56E33E01" w14:textId="3C0526FF" w:rsidR="00032023" w:rsidRPr="00786A41" w:rsidRDefault="00435605" w:rsidP="00435605">
      <w:pPr>
        <w:pStyle w:val="Default"/>
        <w:rPr>
          <w:b/>
          <w:bCs/>
          <w:color w:val="auto"/>
          <w:sz w:val="22"/>
          <w:szCs w:val="22"/>
        </w:rPr>
      </w:pPr>
      <w:r w:rsidRPr="00786A41">
        <w:rPr>
          <w:b/>
          <w:bCs/>
          <w:color w:val="auto"/>
          <w:sz w:val="22"/>
          <w:szCs w:val="22"/>
        </w:rPr>
        <w:t>4.2  Q</w:t>
      </w:r>
      <w:r w:rsidR="00032023" w:rsidRPr="00786A41">
        <w:rPr>
          <w:b/>
          <w:bCs/>
          <w:color w:val="auto"/>
          <w:sz w:val="22"/>
          <w:szCs w:val="22"/>
        </w:rPr>
        <w:t xml:space="preserve">uartile Reporting </w:t>
      </w:r>
    </w:p>
    <w:p w14:paraId="5310D0F4" w14:textId="77777777" w:rsidR="00F36C0D" w:rsidRPr="00786A41" w:rsidRDefault="00F36C0D" w:rsidP="00F36C0D">
      <w:pPr>
        <w:pStyle w:val="Default"/>
        <w:ind w:left="360"/>
        <w:rPr>
          <w:b/>
          <w:bCs/>
          <w:color w:val="auto"/>
          <w:sz w:val="22"/>
          <w:szCs w:val="22"/>
        </w:rPr>
      </w:pPr>
    </w:p>
    <w:p w14:paraId="24F68252" w14:textId="61CE13DD" w:rsidR="00F36C0D" w:rsidRPr="00786A41" w:rsidRDefault="00F36C0D" w:rsidP="00F36C0D">
      <w:pPr>
        <w:pStyle w:val="Default"/>
        <w:rPr>
          <w:color w:val="auto"/>
          <w:sz w:val="22"/>
          <w:szCs w:val="22"/>
        </w:rPr>
      </w:pPr>
      <w:r w:rsidRPr="00786A41">
        <w:rPr>
          <w:color w:val="auto"/>
          <w:sz w:val="22"/>
          <w:szCs w:val="22"/>
        </w:rPr>
        <w:t xml:space="preserve">This calculation is done by </w:t>
      </w:r>
      <w:r w:rsidR="0090531C" w:rsidRPr="00786A41">
        <w:rPr>
          <w:color w:val="auto"/>
          <w:sz w:val="22"/>
          <w:szCs w:val="22"/>
        </w:rPr>
        <w:t>sorting all</w:t>
      </w:r>
      <w:r w:rsidRPr="00786A41">
        <w:rPr>
          <w:color w:val="auto"/>
          <w:sz w:val="22"/>
          <w:szCs w:val="22"/>
        </w:rPr>
        <w:t xml:space="preserve"> full pay relevant employees by hourly rate of pay, dividing the list into four equal quarters and then calculating the proportion of male and females in each of the quartile bands.</w:t>
      </w:r>
    </w:p>
    <w:p w14:paraId="66CE7FD5" w14:textId="77777777" w:rsidR="001D1A8E" w:rsidRPr="00786A41" w:rsidRDefault="001D1A8E" w:rsidP="001D1A8E">
      <w:pPr>
        <w:pStyle w:val="Default"/>
        <w:ind w:left="360"/>
        <w:rPr>
          <w:color w:val="auto"/>
          <w:sz w:val="22"/>
          <w:szCs w:val="22"/>
        </w:rPr>
      </w:pPr>
    </w:p>
    <w:p w14:paraId="1B0AF58F" w14:textId="5C7EE1BB" w:rsidR="00032023" w:rsidRPr="00786A41" w:rsidRDefault="00032023" w:rsidP="00032023">
      <w:r w:rsidRPr="00786A41">
        <w:t>The below table</w:t>
      </w:r>
      <w:r w:rsidR="00B612A1" w:rsidRPr="00786A41">
        <w:t xml:space="preserve"> (Table 2)</w:t>
      </w:r>
      <w:r w:rsidRPr="00786A41">
        <w:t xml:space="preserve"> </w:t>
      </w:r>
      <w:r w:rsidR="0090531C" w:rsidRPr="00786A41">
        <w:t>show</w:t>
      </w:r>
      <w:r w:rsidR="00225DB6" w:rsidRPr="00786A41">
        <w:t>s</w:t>
      </w:r>
      <w:r w:rsidRPr="00786A41">
        <w:t xml:space="preserve"> the gender distribution in N</w:t>
      </w:r>
      <w:r w:rsidR="00B86089" w:rsidRPr="00786A41">
        <w:t>PC</w:t>
      </w:r>
      <w:r w:rsidRPr="00786A41">
        <w:t xml:space="preserve"> across</w:t>
      </w:r>
      <w:r w:rsidR="0090531C" w:rsidRPr="00786A41">
        <w:t xml:space="preserve"> the </w:t>
      </w:r>
      <w:r w:rsidRPr="00786A41">
        <w:t>quartiles</w:t>
      </w:r>
      <w:r w:rsidR="0090531C" w:rsidRPr="00786A41">
        <w:t xml:space="preserve"> along with the </w:t>
      </w:r>
      <w:r w:rsidR="003D3F89">
        <w:t>202</w:t>
      </w:r>
      <w:r w:rsidR="006E54CE">
        <w:t>4</w:t>
      </w:r>
      <w:r w:rsidR="0090531C" w:rsidRPr="00786A41">
        <w:t xml:space="preserve"> figures and the differences</w:t>
      </w:r>
      <w:r w:rsidR="00225DB6" w:rsidRPr="00786A41">
        <w:t>.</w:t>
      </w:r>
      <w:r w:rsidR="00516205" w:rsidRPr="00786A41">
        <w:t xml:space="preserve"> </w:t>
      </w:r>
    </w:p>
    <w:tbl>
      <w:tblPr>
        <w:tblW w:w="10718" w:type="dxa"/>
        <w:tblInd w:w="-404" w:type="dxa"/>
        <w:tblLook w:val="04A0" w:firstRow="1" w:lastRow="0" w:firstColumn="1" w:lastColumn="0" w:noHBand="0" w:noVBand="1"/>
      </w:tblPr>
      <w:tblGrid>
        <w:gridCol w:w="1118"/>
        <w:gridCol w:w="960"/>
        <w:gridCol w:w="960"/>
        <w:gridCol w:w="960"/>
        <w:gridCol w:w="960"/>
        <w:gridCol w:w="960"/>
        <w:gridCol w:w="960"/>
        <w:gridCol w:w="960"/>
        <w:gridCol w:w="960"/>
        <w:gridCol w:w="1078"/>
        <w:gridCol w:w="842"/>
      </w:tblGrid>
      <w:tr w:rsidR="006E54CE" w:rsidRPr="00786A41" w14:paraId="27C0E19A" w14:textId="77777777" w:rsidTr="006E54CE">
        <w:trPr>
          <w:trHeight w:val="300"/>
        </w:trPr>
        <w:tc>
          <w:tcPr>
            <w:tcW w:w="1118" w:type="dxa"/>
            <w:tcBorders>
              <w:top w:val="single" w:sz="8" w:space="0" w:color="auto"/>
              <w:left w:val="single" w:sz="8" w:space="0" w:color="auto"/>
              <w:bottom w:val="single" w:sz="4" w:space="0" w:color="auto"/>
              <w:right w:val="nil"/>
            </w:tcBorders>
            <w:noWrap/>
            <w:vAlign w:val="center"/>
            <w:hideMark/>
          </w:tcPr>
          <w:p w14:paraId="66A92BCE" w14:textId="77777777" w:rsidR="006E54CE" w:rsidRPr="00786A41" w:rsidRDefault="006E54CE" w:rsidP="006E54CE">
            <w:pPr>
              <w:spacing w:after="0" w:line="240" w:lineRule="auto"/>
              <w:rPr>
                <w:rFonts w:ascii="Calibri" w:eastAsia="Times New Roman" w:hAnsi="Calibri" w:cs="Calibri"/>
                <w:sz w:val="20"/>
                <w:szCs w:val="20"/>
                <w:lang w:eastAsia="en-GB"/>
              </w:rPr>
            </w:pPr>
            <w:r w:rsidRPr="00786A41">
              <w:rPr>
                <w:rFonts w:ascii="Calibri" w:eastAsia="Times New Roman" w:hAnsi="Calibri" w:cs="Calibri"/>
                <w:sz w:val="20"/>
                <w:szCs w:val="20"/>
                <w:lang w:eastAsia="en-GB"/>
              </w:rPr>
              <w:t> </w:t>
            </w:r>
          </w:p>
        </w:tc>
        <w:tc>
          <w:tcPr>
            <w:tcW w:w="3840" w:type="dxa"/>
            <w:gridSpan w:val="4"/>
            <w:tcBorders>
              <w:top w:val="single" w:sz="8" w:space="0" w:color="auto"/>
              <w:left w:val="single" w:sz="4" w:space="0" w:color="auto"/>
              <w:bottom w:val="single" w:sz="4" w:space="0" w:color="auto"/>
              <w:right w:val="single" w:sz="4" w:space="0" w:color="000000"/>
            </w:tcBorders>
            <w:shd w:val="clear" w:color="auto" w:fill="D9E2F3" w:themeFill="accent1" w:themeFillTint="33"/>
            <w:noWrap/>
            <w:vAlign w:val="center"/>
            <w:hideMark/>
          </w:tcPr>
          <w:p w14:paraId="03025DD3" w14:textId="648F23A8" w:rsidR="006E54CE" w:rsidRPr="00CD7358" w:rsidRDefault="006E54CE" w:rsidP="006E54CE">
            <w:pPr>
              <w:spacing w:after="0" w:line="240" w:lineRule="auto"/>
              <w:jc w:val="center"/>
              <w:rPr>
                <w:rFonts w:ascii="Calibri" w:eastAsia="Times New Roman" w:hAnsi="Calibri" w:cs="Calibri"/>
                <w:b/>
                <w:bCs/>
                <w:sz w:val="20"/>
                <w:szCs w:val="20"/>
                <w:lang w:eastAsia="en-GB"/>
              </w:rPr>
            </w:pPr>
            <w:r>
              <w:rPr>
                <w:rFonts w:ascii="Calibri" w:hAnsi="Calibri" w:cs="Calibri"/>
                <w:b/>
                <w:bCs/>
                <w:color w:val="000000"/>
                <w:sz w:val="20"/>
                <w:szCs w:val="20"/>
              </w:rPr>
              <w:t>2024</w:t>
            </w:r>
          </w:p>
        </w:tc>
        <w:tc>
          <w:tcPr>
            <w:tcW w:w="3840" w:type="dxa"/>
            <w:gridSpan w:val="4"/>
            <w:tcBorders>
              <w:top w:val="single" w:sz="8" w:space="0" w:color="auto"/>
              <w:left w:val="nil"/>
              <w:bottom w:val="single" w:sz="4" w:space="0" w:color="auto"/>
              <w:right w:val="single" w:sz="4" w:space="0" w:color="000000"/>
            </w:tcBorders>
            <w:shd w:val="clear" w:color="000000" w:fill="B4C6E7"/>
            <w:noWrap/>
            <w:vAlign w:val="center"/>
            <w:hideMark/>
          </w:tcPr>
          <w:p w14:paraId="0CD60EEB" w14:textId="5E40C179" w:rsidR="006E54CE" w:rsidRPr="00CD7358" w:rsidRDefault="006E54CE" w:rsidP="006E54CE">
            <w:pPr>
              <w:spacing w:after="0" w:line="240" w:lineRule="auto"/>
              <w:jc w:val="center"/>
              <w:rPr>
                <w:rFonts w:ascii="Calibri" w:eastAsia="Times New Roman" w:hAnsi="Calibri" w:cs="Calibri"/>
                <w:b/>
                <w:bCs/>
                <w:sz w:val="20"/>
                <w:szCs w:val="20"/>
                <w:lang w:eastAsia="en-GB"/>
              </w:rPr>
            </w:pPr>
            <w:r>
              <w:rPr>
                <w:rFonts w:ascii="Calibri" w:hAnsi="Calibri" w:cs="Calibri"/>
                <w:b/>
                <w:bCs/>
                <w:color w:val="000000"/>
                <w:sz w:val="20"/>
                <w:szCs w:val="20"/>
              </w:rPr>
              <w:t>2025</w:t>
            </w:r>
          </w:p>
        </w:tc>
        <w:tc>
          <w:tcPr>
            <w:tcW w:w="1920" w:type="dxa"/>
            <w:gridSpan w:val="2"/>
            <w:tcBorders>
              <w:top w:val="single" w:sz="8" w:space="0" w:color="auto"/>
              <w:left w:val="nil"/>
              <w:bottom w:val="single" w:sz="4" w:space="0" w:color="auto"/>
              <w:right w:val="single" w:sz="8" w:space="0" w:color="000000"/>
            </w:tcBorders>
            <w:shd w:val="clear" w:color="auto" w:fill="BDD6EE" w:themeFill="accent5" w:themeFillTint="66"/>
            <w:noWrap/>
            <w:vAlign w:val="center"/>
            <w:hideMark/>
          </w:tcPr>
          <w:p w14:paraId="0B0707BF" w14:textId="77777777" w:rsidR="006E54CE" w:rsidRPr="00786A41" w:rsidRDefault="006E54CE" w:rsidP="006E54CE">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Difference</w:t>
            </w:r>
          </w:p>
        </w:tc>
      </w:tr>
      <w:tr w:rsidR="00786A41" w:rsidRPr="00786A41" w14:paraId="3858A41B" w14:textId="77777777" w:rsidTr="006E54CE">
        <w:trPr>
          <w:trHeight w:val="300"/>
        </w:trPr>
        <w:tc>
          <w:tcPr>
            <w:tcW w:w="1118" w:type="dxa"/>
            <w:tcBorders>
              <w:top w:val="single" w:sz="4" w:space="0" w:color="auto"/>
              <w:left w:val="single" w:sz="4" w:space="0" w:color="auto"/>
              <w:bottom w:val="single" w:sz="4" w:space="0" w:color="auto"/>
              <w:right w:val="nil"/>
            </w:tcBorders>
            <w:shd w:val="clear" w:color="000000" w:fill="D9E1F2"/>
            <w:noWrap/>
            <w:vAlign w:val="center"/>
            <w:hideMark/>
          </w:tcPr>
          <w:p w14:paraId="2D9B9682" w14:textId="77777777" w:rsidR="00225DB6" w:rsidRPr="00786A41" w:rsidRDefault="00225DB6" w:rsidP="00225DB6">
            <w:pPr>
              <w:spacing w:after="0" w:line="240" w:lineRule="auto"/>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Quartile</w:t>
            </w:r>
          </w:p>
        </w:tc>
        <w:tc>
          <w:tcPr>
            <w:tcW w:w="960" w:type="dxa"/>
            <w:tcBorders>
              <w:top w:val="single" w:sz="4" w:space="0" w:color="auto"/>
              <w:left w:val="single" w:sz="4" w:space="0" w:color="auto"/>
              <w:bottom w:val="single" w:sz="4" w:space="0" w:color="auto"/>
              <w:right w:val="single" w:sz="4" w:space="0" w:color="BFBFBF"/>
            </w:tcBorders>
            <w:shd w:val="clear" w:color="auto" w:fill="D9E2F3" w:themeFill="accent1" w:themeFillTint="33"/>
            <w:noWrap/>
            <w:vAlign w:val="center"/>
            <w:hideMark/>
          </w:tcPr>
          <w:p w14:paraId="44E9C9B3"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Female</w:t>
            </w:r>
          </w:p>
        </w:tc>
        <w:tc>
          <w:tcPr>
            <w:tcW w:w="960" w:type="dxa"/>
            <w:tcBorders>
              <w:top w:val="single" w:sz="4" w:space="0" w:color="auto"/>
              <w:left w:val="nil"/>
              <w:bottom w:val="single" w:sz="4" w:space="0" w:color="auto"/>
              <w:right w:val="single" w:sz="4" w:space="0" w:color="BFBFBF"/>
            </w:tcBorders>
            <w:shd w:val="clear" w:color="auto" w:fill="D9E2F3" w:themeFill="accent1" w:themeFillTint="33"/>
            <w:noWrap/>
            <w:vAlign w:val="center"/>
            <w:hideMark/>
          </w:tcPr>
          <w:p w14:paraId="57EBB503"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Male</w:t>
            </w:r>
          </w:p>
        </w:tc>
        <w:tc>
          <w:tcPr>
            <w:tcW w:w="960" w:type="dxa"/>
            <w:tcBorders>
              <w:top w:val="single" w:sz="4" w:space="0" w:color="auto"/>
              <w:left w:val="nil"/>
              <w:bottom w:val="single" w:sz="4" w:space="0" w:color="auto"/>
              <w:right w:val="single" w:sz="4" w:space="0" w:color="BFBFBF"/>
            </w:tcBorders>
            <w:shd w:val="clear" w:color="auto" w:fill="D9E2F3" w:themeFill="accent1" w:themeFillTint="33"/>
            <w:noWrap/>
            <w:vAlign w:val="center"/>
            <w:hideMark/>
          </w:tcPr>
          <w:p w14:paraId="088C1DE4"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Female %</w:t>
            </w:r>
          </w:p>
        </w:tc>
        <w:tc>
          <w:tcPr>
            <w:tcW w:w="96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02637997"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Male %</w:t>
            </w:r>
          </w:p>
        </w:tc>
        <w:tc>
          <w:tcPr>
            <w:tcW w:w="960" w:type="dxa"/>
            <w:tcBorders>
              <w:top w:val="single" w:sz="4" w:space="0" w:color="auto"/>
              <w:left w:val="nil"/>
              <w:bottom w:val="single" w:sz="4" w:space="0" w:color="auto"/>
              <w:right w:val="single" w:sz="4" w:space="0" w:color="BFBFBF"/>
            </w:tcBorders>
            <w:shd w:val="clear" w:color="auto" w:fill="B4C6E7" w:themeFill="accent1" w:themeFillTint="66"/>
            <w:noWrap/>
            <w:vAlign w:val="center"/>
            <w:hideMark/>
          </w:tcPr>
          <w:p w14:paraId="3D3C4D74"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Female</w:t>
            </w:r>
          </w:p>
        </w:tc>
        <w:tc>
          <w:tcPr>
            <w:tcW w:w="960" w:type="dxa"/>
            <w:tcBorders>
              <w:top w:val="single" w:sz="4" w:space="0" w:color="auto"/>
              <w:left w:val="nil"/>
              <w:bottom w:val="single" w:sz="4" w:space="0" w:color="auto"/>
              <w:right w:val="single" w:sz="4" w:space="0" w:color="BFBFBF"/>
            </w:tcBorders>
            <w:shd w:val="clear" w:color="auto" w:fill="B4C6E7" w:themeFill="accent1" w:themeFillTint="66"/>
            <w:noWrap/>
            <w:vAlign w:val="center"/>
            <w:hideMark/>
          </w:tcPr>
          <w:p w14:paraId="4D742C71"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Male</w:t>
            </w:r>
          </w:p>
        </w:tc>
        <w:tc>
          <w:tcPr>
            <w:tcW w:w="960" w:type="dxa"/>
            <w:tcBorders>
              <w:top w:val="single" w:sz="4" w:space="0" w:color="auto"/>
              <w:left w:val="nil"/>
              <w:bottom w:val="single" w:sz="4" w:space="0" w:color="auto"/>
              <w:right w:val="single" w:sz="4" w:space="0" w:color="BFBFBF"/>
            </w:tcBorders>
            <w:shd w:val="clear" w:color="auto" w:fill="B4C6E7" w:themeFill="accent1" w:themeFillTint="66"/>
            <w:noWrap/>
            <w:vAlign w:val="center"/>
            <w:hideMark/>
          </w:tcPr>
          <w:p w14:paraId="7CD9B899"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Female %</w:t>
            </w:r>
          </w:p>
        </w:tc>
        <w:tc>
          <w:tcPr>
            <w:tcW w:w="960"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478BC5B6"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Male %</w:t>
            </w:r>
          </w:p>
        </w:tc>
        <w:tc>
          <w:tcPr>
            <w:tcW w:w="1078" w:type="dxa"/>
            <w:tcBorders>
              <w:top w:val="single" w:sz="4" w:space="0" w:color="auto"/>
              <w:left w:val="nil"/>
              <w:bottom w:val="single" w:sz="4" w:space="0" w:color="auto"/>
              <w:right w:val="single" w:sz="4" w:space="0" w:color="BFBFBF"/>
            </w:tcBorders>
            <w:shd w:val="clear" w:color="auto" w:fill="BDD6EE" w:themeFill="accent5" w:themeFillTint="66"/>
            <w:noWrap/>
            <w:vAlign w:val="center"/>
            <w:hideMark/>
          </w:tcPr>
          <w:p w14:paraId="582CA1F8"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Female %</w:t>
            </w:r>
          </w:p>
        </w:tc>
        <w:tc>
          <w:tcPr>
            <w:tcW w:w="842"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434E928B" w14:textId="77777777" w:rsidR="00225DB6" w:rsidRPr="00786A41" w:rsidRDefault="00225DB6" w:rsidP="00225DB6">
            <w:pPr>
              <w:spacing w:after="0" w:line="240" w:lineRule="auto"/>
              <w:jc w:val="center"/>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Male %</w:t>
            </w:r>
          </w:p>
        </w:tc>
      </w:tr>
      <w:tr w:rsidR="006E54CE" w:rsidRPr="00786A41" w14:paraId="1FB00C49" w14:textId="77777777" w:rsidTr="006E54CE">
        <w:trPr>
          <w:trHeight w:val="300"/>
        </w:trPr>
        <w:tc>
          <w:tcPr>
            <w:tcW w:w="1118" w:type="dxa"/>
            <w:tcBorders>
              <w:top w:val="single" w:sz="4" w:space="0" w:color="auto"/>
              <w:left w:val="single" w:sz="4" w:space="0" w:color="auto"/>
              <w:bottom w:val="nil"/>
              <w:right w:val="nil"/>
            </w:tcBorders>
            <w:shd w:val="clear" w:color="000000" w:fill="D9E1F2"/>
            <w:noWrap/>
            <w:vAlign w:val="center"/>
            <w:hideMark/>
          </w:tcPr>
          <w:p w14:paraId="3B9C6FD5" w14:textId="3F4C6711" w:rsidR="006E54CE" w:rsidRPr="00786A41" w:rsidRDefault="006E54CE" w:rsidP="006E54CE">
            <w:pPr>
              <w:spacing w:after="0" w:line="240" w:lineRule="auto"/>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1 (low)</w:t>
            </w:r>
          </w:p>
        </w:tc>
        <w:tc>
          <w:tcPr>
            <w:tcW w:w="960" w:type="dxa"/>
            <w:tcBorders>
              <w:top w:val="single" w:sz="4" w:space="0" w:color="auto"/>
              <w:left w:val="single" w:sz="4" w:space="0" w:color="auto"/>
              <w:bottom w:val="single" w:sz="4" w:space="0" w:color="BFBFBF"/>
              <w:right w:val="single" w:sz="4" w:space="0" w:color="BFBFBF"/>
            </w:tcBorders>
            <w:shd w:val="clear" w:color="000000" w:fill="FFFFFF"/>
            <w:vAlign w:val="center"/>
          </w:tcPr>
          <w:p w14:paraId="7B7B17EA" w14:textId="74A855CC"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110</w:t>
            </w:r>
          </w:p>
        </w:tc>
        <w:tc>
          <w:tcPr>
            <w:tcW w:w="960" w:type="dxa"/>
            <w:tcBorders>
              <w:top w:val="single" w:sz="4" w:space="0" w:color="auto"/>
              <w:left w:val="nil"/>
              <w:bottom w:val="single" w:sz="4" w:space="0" w:color="BFBFBF"/>
              <w:right w:val="single" w:sz="4" w:space="0" w:color="BFBFBF"/>
            </w:tcBorders>
            <w:shd w:val="clear" w:color="000000" w:fill="FFFFFF"/>
            <w:vAlign w:val="center"/>
          </w:tcPr>
          <w:p w14:paraId="3C516E89" w14:textId="399BEBCC"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9</w:t>
            </w:r>
          </w:p>
        </w:tc>
        <w:tc>
          <w:tcPr>
            <w:tcW w:w="960" w:type="dxa"/>
            <w:tcBorders>
              <w:top w:val="single" w:sz="4" w:space="0" w:color="auto"/>
              <w:left w:val="nil"/>
              <w:bottom w:val="single" w:sz="4" w:space="0" w:color="BFBFBF"/>
              <w:right w:val="single" w:sz="4" w:space="0" w:color="BFBFBF"/>
            </w:tcBorders>
            <w:shd w:val="clear" w:color="000000" w:fill="FFFFFF"/>
            <w:vAlign w:val="center"/>
          </w:tcPr>
          <w:p w14:paraId="1B0A416F" w14:textId="15820375"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92.44%</w:t>
            </w:r>
          </w:p>
        </w:tc>
        <w:tc>
          <w:tcPr>
            <w:tcW w:w="960" w:type="dxa"/>
            <w:tcBorders>
              <w:top w:val="single" w:sz="4" w:space="0" w:color="auto"/>
              <w:left w:val="nil"/>
              <w:bottom w:val="single" w:sz="4" w:space="0" w:color="BFBFBF"/>
              <w:right w:val="single" w:sz="4" w:space="0" w:color="auto"/>
            </w:tcBorders>
            <w:shd w:val="clear" w:color="000000" w:fill="FFFFFF"/>
            <w:vAlign w:val="center"/>
          </w:tcPr>
          <w:p w14:paraId="737CF39F" w14:textId="0F0A2F8C"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7.56%</w:t>
            </w:r>
          </w:p>
        </w:tc>
        <w:tc>
          <w:tcPr>
            <w:tcW w:w="960" w:type="dxa"/>
            <w:tcBorders>
              <w:top w:val="single" w:sz="4" w:space="0" w:color="auto"/>
              <w:left w:val="nil"/>
              <w:bottom w:val="single" w:sz="4" w:space="0" w:color="BFBFBF"/>
              <w:right w:val="single" w:sz="4" w:space="0" w:color="BFBFBF"/>
            </w:tcBorders>
            <w:shd w:val="clear" w:color="000000" w:fill="FFFFFF"/>
            <w:vAlign w:val="center"/>
            <w:hideMark/>
          </w:tcPr>
          <w:p w14:paraId="1B9B12B9" w14:textId="5C51811A"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105</w:t>
            </w:r>
          </w:p>
        </w:tc>
        <w:tc>
          <w:tcPr>
            <w:tcW w:w="960" w:type="dxa"/>
            <w:tcBorders>
              <w:top w:val="single" w:sz="4" w:space="0" w:color="auto"/>
              <w:left w:val="nil"/>
              <w:bottom w:val="single" w:sz="4" w:space="0" w:color="BFBFBF"/>
              <w:right w:val="single" w:sz="4" w:space="0" w:color="BFBFBF"/>
            </w:tcBorders>
            <w:shd w:val="clear" w:color="000000" w:fill="FFFFFF"/>
            <w:vAlign w:val="center"/>
          </w:tcPr>
          <w:p w14:paraId="272A15B4" w14:textId="53E4ECA3"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9</w:t>
            </w:r>
          </w:p>
        </w:tc>
        <w:tc>
          <w:tcPr>
            <w:tcW w:w="960" w:type="dxa"/>
            <w:tcBorders>
              <w:top w:val="single" w:sz="4" w:space="0" w:color="auto"/>
              <w:left w:val="nil"/>
              <w:bottom w:val="single" w:sz="4" w:space="0" w:color="BFBFBF"/>
              <w:right w:val="single" w:sz="4" w:space="0" w:color="BFBFBF"/>
            </w:tcBorders>
            <w:shd w:val="clear" w:color="000000" w:fill="FFFFFF"/>
            <w:vAlign w:val="center"/>
          </w:tcPr>
          <w:p w14:paraId="148F73B5" w14:textId="79221375"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92.11%</w:t>
            </w:r>
          </w:p>
        </w:tc>
        <w:tc>
          <w:tcPr>
            <w:tcW w:w="960" w:type="dxa"/>
            <w:tcBorders>
              <w:top w:val="single" w:sz="4" w:space="0" w:color="auto"/>
              <w:left w:val="nil"/>
              <w:bottom w:val="single" w:sz="4" w:space="0" w:color="BFBFBF"/>
              <w:right w:val="single" w:sz="4" w:space="0" w:color="auto"/>
            </w:tcBorders>
            <w:shd w:val="clear" w:color="000000" w:fill="FFFFFF"/>
            <w:vAlign w:val="center"/>
          </w:tcPr>
          <w:p w14:paraId="5E56AE02" w14:textId="6B856389"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7.89%</w:t>
            </w:r>
          </w:p>
        </w:tc>
        <w:tc>
          <w:tcPr>
            <w:tcW w:w="1078" w:type="dxa"/>
            <w:tcBorders>
              <w:top w:val="single" w:sz="4" w:space="0" w:color="auto"/>
              <w:left w:val="nil"/>
              <w:bottom w:val="single" w:sz="4" w:space="0" w:color="BFBFBF"/>
              <w:right w:val="single" w:sz="4" w:space="0" w:color="BFBFBF"/>
            </w:tcBorders>
            <w:noWrap/>
            <w:vAlign w:val="center"/>
          </w:tcPr>
          <w:p w14:paraId="3E5E78F7" w14:textId="32F40B83"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-0.33%</w:t>
            </w:r>
          </w:p>
        </w:tc>
        <w:tc>
          <w:tcPr>
            <w:tcW w:w="842" w:type="dxa"/>
            <w:tcBorders>
              <w:top w:val="single" w:sz="4" w:space="0" w:color="auto"/>
              <w:left w:val="nil"/>
              <w:bottom w:val="single" w:sz="4" w:space="0" w:color="BFBFBF"/>
              <w:right w:val="single" w:sz="4" w:space="0" w:color="auto"/>
            </w:tcBorders>
            <w:noWrap/>
            <w:vAlign w:val="center"/>
          </w:tcPr>
          <w:p w14:paraId="49536755" w14:textId="2B211D0C"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0.33%</w:t>
            </w:r>
          </w:p>
        </w:tc>
      </w:tr>
      <w:tr w:rsidR="006E54CE" w:rsidRPr="00786A41" w14:paraId="4EFC9CEE" w14:textId="77777777" w:rsidTr="006E54CE">
        <w:trPr>
          <w:trHeight w:val="300"/>
        </w:trPr>
        <w:tc>
          <w:tcPr>
            <w:tcW w:w="1118" w:type="dxa"/>
            <w:tcBorders>
              <w:top w:val="nil"/>
              <w:left w:val="single" w:sz="4" w:space="0" w:color="auto"/>
              <w:bottom w:val="nil"/>
              <w:right w:val="nil"/>
            </w:tcBorders>
            <w:shd w:val="clear" w:color="000000" w:fill="D9E1F2"/>
            <w:noWrap/>
            <w:vAlign w:val="center"/>
            <w:hideMark/>
          </w:tcPr>
          <w:p w14:paraId="3FD40F48" w14:textId="77777777" w:rsidR="006E54CE" w:rsidRPr="00786A41" w:rsidRDefault="006E54CE" w:rsidP="006E54CE">
            <w:pPr>
              <w:spacing w:after="0" w:line="240" w:lineRule="auto"/>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2</w:t>
            </w:r>
          </w:p>
        </w:tc>
        <w:tc>
          <w:tcPr>
            <w:tcW w:w="960" w:type="dxa"/>
            <w:tcBorders>
              <w:top w:val="nil"/>
              <w:left w:val="single" w:sz="4" w:space="0" w:color="auto"/>
              <w:bottom w:val="single" w:sz="4" w:space="0" w:color="BFBFBF"/>
              <w:right w:val="single" w:sz="4" w:space="0" w:color="BFBFBF"/>
            </w:tcBorders>
            <w:shd w:val="clear" w:color="000000" w:fill="FFFFFF"/>
            <w:vAlign w:val="center"/>
          </w:tcPr>
          <w:p w14:paraId="455B10ED" w14:textId="0D87D3CF"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107</w:t>
            </w:r>
          </w:p>
        </w:tc>
        <w:tc>
          <w:tcPr>
            <w:tcW w:w="960" w:type="dxa"/>
            <w:tcBorders>
              <w:top w:val="nil"/>
              <w:left w:val="nil"/>
              <w:bottom w:val="single" w:sz="4" w:space="0" w:color="BFBFBF"/>
              <w:right w:val="single" w:sz="4" w:space="0" w:color="BFBFBF"/>
            </w:tcBorders>
            <w:shd w:val="clear" w:color="000000" w:fill="FFFFFF"/>
            <w:vAlign w:val="center"/>
          </w:tcPr>
          <w:p w14:paraId="51A530C8" w14:textId="49994EF8"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5</w:t>
            </w:r>
          </w:p>
        </w:tc>
        <w:tc>
          <w:tcPr>
            <w:tcW w:w="960" w:type="dxa"/>
            <w:tcBorders>
              <w:top w:val="nil"/>
              <w:left w:val="nil"/>
              <w:bottom w:val="single" w:sz="4" w:space="0" w:color="BFBFBF"/>
              <w:right w:val="single" w:sz="4" w:space="0" w:color="BFBFBF"/>
            </w:tcBorders>
            <w:shd w:val="clear" w:color="000000" w:fill="FFFFFF"/>
            <w:vAlign w:val="center"/>
          </w:tcPr>
          <w:p w14:paraId="494D5CF2" w14:textId="13ADACE5"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95.54%</w:t>
            </w:r>
          </w:p>
        </w:tc>
        <w:tc>
          <w:tcPr>
            <w:tcW w:w="960" w:type="dxa"/>
            <w:tcBorders>
              <w:top w:val="nil"/>
              <w:left w:val="nil"/>
              <w:bottom w:val="single" w:sz="4" w:space="0" w:color="BFBFBF"/>
              <w:right w:val="single" w:sz="4" w:space="0" w:color="auto"/>
            </w:tcBorders>
            <w:shd w:val="clear" w:color="000000" w:fill="FFFFFF"/>
            <w:vAlign w:val="center"/>
          </w:tcPr>
          <w:p w14:paraId="37F38628" w14:textId="763365E4"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4.46%</w:t>
            </w:r>
          </w:p>
        </w:tc>
        <w:tc>
          <w:tcPr>
            <w:tcW w:w="960" w:type="dxa"/>
            <w:tcBorders>
              <w:top w:val="nil"/>
              <w:left w:val="nil"/>
              <w:bottom w:val="single" w:sz="4" w:space="0" w:color="BFBFBF"/>
              <w:right w:val="single" w:sz="4" w:space="0" w:color="BFBFBF"/>
            </w:tcBorders>
            <w:shd w:val="clear" w:color="000000" w:fill="FFFFFF"/>
            <w:vAlign w:val="center"/>
          </w:tcPr>
          <w:p w14:paraId="146E88FF" w14:textId="171929AC"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107</w:t>
            </w:r>
          </w:p>
        </w:tc>
        <w:tc>
          <w:tcPr>
            <w:tcW w:w="960" w:type="dxa"/>
            <w:tcBorders>
              <w:top w:val="nil"/>
              <w:left w:val="nil"/>
              <w:bottom w:val="single" w:sz="4" w:space="0" w:color="BFBFBF"/>
              <w:right w:val="single" w:sz="4" w:space="0" w:color="BFBFBF"/>
            </w:tcBorders>
            <w:shd w:val="clear" w:color="000000" w:fill="FFFFFF"/>
            <w:vAlign w:val="center"/>
          </w:tcPr>
          <w:p w14:paraId="6F8A57A8" w14:textId="7D471C98"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7</w:t>
            </w:r>
          </w:p>
        </w:tc>
        <w:tc>
          <w:tcPr>
            <w:tcW w:w="960" w:type="dxa"/>
            <w:tcBorders>
              <w:top w:val="nil"/>
              <w:left w:val="nil"/>
              <w:bottom w:val="single" w:sz="4" w:space="0" w:color="BFBFBF"/>
              <w:right w:val="single" w:sz="4" w:space="0" w:color="BFBFBF"/>
            </w:tcBorders>
            <w:shd w:val="clear" w:color="000000" w:fill="FFFFFF"/>
            <w:vAlign w:val="center"/>
          </w:tcPr>
          <w:p w14:paraId="2951AAA3" w14:textId="05587CE2"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93.86%</w:t>
            </w:r>
          </w:p>
        </w:tc>
        <w:tc>
          <w:tcPr>
            <w:tcW w:w="960" w:type="dxa"/>
            <w:tcBorders>
              <w:top w:val="nil"/>
              <w:left w:val="nil"/>
              <w:bottom w:val="single" w:sz="4" w:space="0" w:color="BFBFBF"/>
              <w:right w:val="single" w:sz="4" w:space="0" w:color="auto"/>
            </w:tcBorders>
            <w:shd w:val="clear" w:color="000000" w:fill="FFFFFF"/>
            <w:vAlign w:val="center"/>
          </w:tcPr>
          <w:p w14:paraId="3D0C0A8E" w14:textId="6C90BFD8"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6.14%</w:t>
            </w:r>
          </w:p>
        </w:tc>
        <w:tc>
          <w:tcPr>
            <w:tcW w:w="1078" w:type="dxa"/>
            <w:tcBorders>
              <w:top w:val="nil"/>
              <w:left w:val="nil"/>
              <w:bottom w:val="single" w:sz="4" w:space="0" w:color="BFBFBF"/>
              <w:right w:val="single" w:sz="4" w:space="0" w:color="BFBFBF"/>
            </w:tcBorders>
            <w:noWrap/>
            <w:vAlign w:val="center"/>
          </w:tcPr>
          <w:p w14:paraId="11FDAD2D" w14:textId="4EFA3ACA"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-1.68%</w:t>
            </w:r>
          </w:p>
        </w:tc>
        <w:tc>
          <w:tcPr>
            <w:tcW w:w="842" w:type="dxa"/>
            <w:tcBorders>
              <w:top w:val="nil"/>
              <w:left w:val="nil"/>
              <w:bottom w:val="single" w:sz="4" w:space="0" w:color="BFBFBF"/>
              <w:right w:val="single" w:sz="4" w:space="0" w:color="auto"/>
            </w:tcBorders>
            <w:noWrap/>
            <w:vAlign w:val="center"/>
          </w:tcPr>
          <w:p w14:paraId="4BE944AE" w14:textId="671038F4"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1.68%</w:t>
            </w:r>
          </w:p>
        </w:tc>
      </w:tr>
      <w:tr w:rsidR="006E54CE" w:rsidRPr="00786A41" w14:paraId="60CAAC7B" w14:textId="77777777" w:rsidTr="006E54CE">
        <w:trPr>
          <w:trHeight w:val="300"/>
        </w:trPr>
        <w:tc>
          <w:tcPr>
            <w:tcW w:w="1118" w:type="dxa"/>
            <w:tcBorders>
              <w:top w:val="nil"/>
              <w:left w:val="single" w:sz="4" w:space="0" w:color="auto"/>
              <w:bottom w:val="nil"/>
              <w:right w:val="nil"/>
            </w:tcBorders>
            <w:shd w:val="clear" w:color="000000" w:fill="D9E1F2"/>
            <w:noWrap/>
            <w:vAlign w:val="center"/>
            <w:hideMark/>
          </w:tcPr>
          <w:p w14:paraId="4C1D2882" w14:textId="77777777" w:rsidR="006E54CE" w:rsidRPr="00786A41" w:rsidRDefault="006E54CE" w:rsidP="006E54CE">
            <w:pPr>
              <w:spacing w:after="0" w:line="240" w:lineRule="auto"/>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3</w:t>
            </w:r>
          </w:p>
        </w:tc>
        <w:tc>
          <w:tcPr>
            <w:tcW w:w="960" w:type="dxa"/>
            <w:tcBorders>
              <w:top w:val="nil"/>
              <w:left w:val="single" w:sz="4" w:space="0" w:color="auto"/>
              <w:bottom w:val="single" w:sz="4" w:space="0" w:color="BFBFBF"/>
              <w:right w:val="single" w:sz="4" w:space="0" w:color="BFBFBF"/>
            </w:tcBorders>
            <w:shd w:val="clear" w:color="000000" w:fill="FFFFFF"/>
            <w:vAlign w:val="center"/>
          </w:tcPr>
          <w:p w14:paraId="15A7D919" w14:textId="00E26357"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102</w:t>
            </w:r>
          </w:p>
        </w:tc>
        <w:tc>
          <w:tcPr>
            <w:tcW w:w="960" w:type="dxa"/>
            <w:tcBorders>
              <w:top w:val="nil"/>
              <w:left w:val="nil"/>
              <w:bottom w:val="single" w:sz="4" w:space="0" w:color="BFBFBF"/>
              <w:right w:val="single" w:sz="4" w:space="0" w:color="BFBFBF"/>
            </w:tcBorders>
            <w:shd w:val="clear" w:color="000000" w:fill="FFFFFF"/>
            <w:vAlign w:val="center"/>
          </w:tcPr>
          <w:p w14:paraId="63404DB3" w14:textId="768AE418"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12</w:t>
            </w:r>
          </w:p>
        </w:tc>
        <w:tc>
          <w:tcPr>
            <w:tcW w:w="960" w:type="dxa"/>
            <w:tcBorders>
              <w:top w:val="nil"/>
              <w:left w:val="nil"/>
              <w:bottom w:val="single" w:sz="4" w:space="0" w:color="BFBFBF"/>
              <w:right w:val="single" w:sz="4" w:space="0" w:color="BFBFBF"/>
            </w:tcBorders>
            <w:shd w:val="clear" w:color="000000" w:fill="FFFFFF"/>
            <w:vAlign w:val="center"/>
          </w:tcPr>
          <w:p w14:paraId="34F1C004" w14:textId="1DD1167C"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89.47%</w:t>
            </w:r>
          </w:p>
        </w:tc>
        <w:tc>
          <w:tcPr>
            <w:tcW w:w="960" w:type="dxa"/>
            <w:tcBorders>
              <w:top w:val="nil"/>
              <w:left w:val="nil"/>
              <w:bottom w:val="single" w:sz="4" w:space="0" w:color="BFBFBF"/>
              <w:right w:val="single" w:sz="4" w:space="0" w:color="auto"/>
            </w:tcBorders>
            <w:shd w:val="clear" w:color="000000" w:fill="FFFFFF"/>
            <w:vAlign w:val="center"/>
          </w:tcPr>
          <w:p w14:paraId="39603A30" w14:textId="4E5F08C5"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10.53%</w:t>
            </w:r>
          </w:p>
        </w:tc>
        <w:tc>
          <w:tcPr>
            <w:tcW w:w="960" w:type="dxa"/>
            <w:tcBorders>
              <w:top w:val="nil"/>
              <w:left w:val="nil"/>
              <w:bottom w:val="single" w:sz="4" w:space="0" w:color="BFBFBF"/>
              <w:right w:val="single" w:sz="4" w:space="0" w:color="BFBFBF"/>
            </w:tcBorders>
            <w:shd w:val="clear" w:color="000000" w:fill="FFFFFF"/>
            <w:vAlign w:val="center"/>
          </w:tcPr>
          <w:p w14:paraId="3BA50A05" w14:textId="6BE9C06B"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103</w:t>
            </w:r>
          </w:p>
        </w:tc>
        <w:tc>
          <w:tcPr>
            <w:tcW w:w="960" w:type="dxa"/>
            <w:tcBorders>
              <w:top w:val="nil"/>
              <w:left w:val="nil"/>
              <w:bottom w:val="single" w:sz="4" w:space="0" w:color="BFBFBF"/>
              <w:right w:val="single" w:sz="4" w:space="0" w:color="BFBFBF"/>
            </w:tcBorders>
            <w:shd w:val="clear" w:color="000000" w:fill="FFFFFF"/>
            <w:vAlign w:val="center"/>
          </w:tcPr>
          <w:p w14:paraId="457E3FB4" w14:textId="4EDE0ACF"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11</w:t>
            </w:r>
          </w:p>
        </w:tc>
        <w:tc>
          <w:tcPr>
            <w:tcW w:w="960" w:type="dxa"/>
            <w:tcBorders>
              <w:top w:val="nil"/>
              <w:left w:val="nil"/>
              <w:bottom w:val="single" w:sz="4" w:space="0" w:color="BFBFBF"/>
              <w:right w:val="single" w:sz="4" w:space="0" w:color="BFBFBF"/>
            </w:tcBorders>
            <w:shd w:val="clear" w:color="000000" w:fill="FFFFFF"/>
            <w:vAlign w:val="center"/>
          </w:tcPr>
          <w:p w14:paraId="175EA6B9" w14:textId="4B40ABBF"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90.35%</w:t>
            </w:r>
          </w:p>
        </w:tc>
        <w:tc>
          <w:tcPr>
            <w:tcW w:w="960" w:type="dxa"/>
            <w:tcBorders>
              <w:top w:val="nil"/>
              <w:left w:val="nil"/>
              <w:bottom w:val="single" w:sz="4" w:space="0" w:color="BFBFBF"/>
              <w:right w:val="single" w:sz="4" w:space="0" w:color="auto"/>
            </w:tcBorders>
            <w:shd w:val="clear" w:color="000000" w:fill="FFFFFF"/>
            <w:vAlign w:val="center"/>
          </w:tcPr>
          <w:p w14:paraId="252EC1E1" w14:textId="08784DE3"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9.65%</w:t>
            </w:r>
          </w:p>
        </w:tc>
        <w:tc>
          <w:tcPr>
            <w:tcW w:w="1078" w:type="dxa"/>
            <w:tcBorders>
              <w:top w:val="nil"/>
              <w:left w:val="nil"/>
              <w:bottom w:val="single" w:sz="4" w:space="0" w:color="BFBFBF"/>
              <w:right w:val="single" w:sz="4" w:space="0" w:color="BFBFBF"/>
            </w:tcBorders>
            <w:noWrap/>
            <w:vAlign w:val="center"/>
          </w:tcPr>
          <w:p w14:paraId="0DD090D6" w14:textId="53FA26B9"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0.88%</w:t>
            </w:r>
          </w:p>
        </w:tc>
        <w:tc>
          <w:tcPr>
            <w:tcW w:w="842" w:type="dxa"/>
            <w:tcBorders>
              <w:top w:val="nil"/>
              <w:left w:val="nil"/>
              <w:bottom w:val="single" w:sz="4" w:space="0" w:color="BFBFBF"/>
              <w:right w:val="single" w:sz="4" w:space="0" w:color="auto"/>
            </w:tcBorders>
            <w:noWrap/>
            <w:vAlign w:val="center"/>
          </w:tcPr>
          <w:p w14:paraId="155108C8" w14:textId="7755CC8B"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-0.88%</w:t>
            </w:r>
          </w:p>
        </w:tc>
      </w:tr>
      <w:tr w:rsidR="006E54CE" w:rsidRPr="00786A41" w14:paraId="58A2BBC8" w14:textId="77777777" w:rsidTr="006E54CE">
        <w:trPr>
          <w:trHeight w:val="315"/>
        </w:trPr>
        <w:tc>
          <w:tcPr>
            <w:tcW w:w="1118" w:type="dxa"/>
            <w:tcBorders>
              <w:top w:val="nil"/>
              <w:left w:val="single" w:sz="4" w:space="0" w:color="auto"/>
              <w:bottom w:val="single" w:sz="4" w:space="0" w:color="auto"/>
              <w:right w:val="nil"/>
            </w:tcBorders>
            <w:shd w:val="clear" w:color="000000" w:fill="D9E1F2"/>
            <w:noWrap/>
            <w:vAlign w:val="center"/>
            <w:hideMark/>
          </w:tcPr>
          <w:p w14:paraId="5A47E3FE" w14:textId="233B35BF" w:rsidR="006E54CE" w:rsidRPr="00786A41" w:rsidRDefault="006E54CE" w:rsidP="006E54CE">
            <w:pPr>
              <w:spacing w:after="0" w:line="240" w:lineRule="auto"/>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4 (high)</w:t>
            </w:r>
          </w:p>
        </w:tc>
        <w:tc>
          <w:tcPr>
            <w:tcW w:w="960" w:type="dxa"/>
            <w:tcBorders>
              <w:top w:val="nil"/>
              <w:left w:val="single" w:sz="4" w:space="0" w:color="auto"/>
              <w:bottom w:val="single" w:sz="4" w:space="0" w:color="auto"/>
              <w:right w:val="single" w:sz="4" w:space="0" w:color="BFBFBF"/>
            </w:tcBorders>
            <w:shd w:val="clear" w:color="000000" w:fill="FFFFFF"/>
            <w:vAlign w:val="center"/>
          </w:tcPr>
          <w:p w14:paraId="1302640A" w14:textId="39A3979F"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75</w:t>
            </w:r>
          </w:p>
        </w:tc>
        <w:tc>
          <w:tcPr>
            <w:tcW w:w="960" w:type="dxa"/>
            <w:tcBorders>
              <w:top w:val="nil"/>
              <w:left w:val="nil"/>
              <w:bottom w:val="single" w:sz="4" w:space="0" w:color="auto"/>
              <w:right w:val="single" w:sz="4" w:space="0" w:color="BFBFBF"/>
            </w:tcBorders>
            <w:shd w:val="clear" w:color="000000" w:fill="FFFFFF"/>
            <w:vAlign w:val="center"/>
          </w:tcPr>
          <w:p w14:paraId="5DC48229" w14:textId="17624C87"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42</w:t>
            </w:r>
          </w:p>
        </w:tc>
        <w:tc>
          <w:tcPr>
            <w:tcW w:w="960" w:type="dxa"/>
            <w:tcBorders>
              <w:top w:val="nil"/>
              <w:left w:val="nil"/>
              <w:bottom w:val="single" w:sz="4" w:space="0" w:color="auto"/>
              <w:right w:val="single" w:sz="4" w:space="0" w:color="BFBFBF"/>
            </w:tcBorders>
            <w:shd w:val="clear" w:color="000000" w:fill="FFFFFF"/>
            <w:vAlign w:val="center"/>
          </w:tcPr>
          <w:p w14:paraId="56C25761" w14:textId="7F835625"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64.10%</w:t>
            </w:r>
          </w:p>
        </w:tc>
        <w:tc>
          <w:tcPr>
            <w:tcW w:w="960" w:type="dxa"/>
            <w:tcBorders>
              <w:top w:val="nil"/>
              <w:left w:val="nil"/>
              <w:bottom w:val="single" w:sz="4" w:space="0" w:color="auto"/>
              <w:right w:val="single" w:sz="4" w:space="0" w:color="auto"/>
            </w:tcBorders>
            <w:shd w:val="clear" w:color="000000" w:fill="FFFFFF"/>
            <w:vAlign w:val="center"/>
          </w:tcPr>
          <w:p w14:paraId="789F0112" w14:textId="6DAB0CEF"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35.90%</w:t>
            </w:r>
          </w:p>
        </w:tc>
        <w:tc>
          <w:tcPr>
            <w:tcW w:w="960" w:type="dxa"/>
            <w:tcBorders>
              <w:top w:val="nil"/>
              <w:left w:val="nil"/>
              <w:bottom w:val="single" w:sz="4" w:space="0" w:color="auto"/>
              <w:right w:val="single" w:sz="4" w:space="0" w:color="BFBFBF"/>
            </w:tcBorders>
            <w:shd w:val="clear" w:color="000000" w:fill="FFFFFF"/>
            <w:vAlign w:val="center"/>
            <w:hideMark/>
          </w:tcPr>
          <w:p w14:paraId="06F911C5" w14:textId="0F2F575E" w:rsidR="006E54CE" w:rsidRPr="006E54CE" w:rsidRDefault="006E54CE" w:rsidP="006E54CE">
            <w:pPr>
              <w:spacing w:after="0" w:line="240" w:lineRule="auto"/>
              <w:jc w:val="center"/>
              <w:rPr>
                <w:rFonts w:ascii="Calibri" w:eastAsia="Times New Roman" w:hAnsi="Calibri" w:cs="Calibri"/>
                <w:sz w:val="20"/>
                <w:szCs w:val="20"/>
                <w:highlight w:val="yellow"/>
                <w:lang w:eastAsia="en-GB"/>
              </w:rPr>
            </w:pPr>
            <w:r w:rsidRPr="006E54CE">
              <w:rPr>
                <w:rFonts w:ascii="Calibri" w:hAnsi="Calibri" w:cs="Calibri"/>
                <w:color w:val="000000"/>
                <w:sz w:val="20"/>
                <w:szCs w:val="20"/>
              </w:rPr>
              <w:t>76</w:t>
            </w:r>
          </w:p>
        </w:tc>
        <w:tc>
          <w:tcPr>
            <w:tcW w:w="960" w:type="dxa"/>
            <w:tcBorders>
              <w:top w:val="nil"/>
              <w:left w:val="nil"/>
              <w:bottom w:val="single" w:sz="4" w:space="0" w:color="auto"/>
              <w:right w:val="single" w:sz="4" w:space="0" w:color="BFBFBF"/>
            </w:tcBorders>
            <w:shd w:val="clear" w:color="000000" w:fill="FFFFFF"/>
            <w:vAlign w:val="center"/>
          </w:tcPr>
          <w:p w14:paraId="1C2B5A5B" w14:textId="35054C58" w:rsidR="006E54CE" w:rsidRPr="006E54CE" w:rsidRDefault="006E54CE" w:rsidP="006E54CE">
            <w:pPr>
              <w:spacing w:after="0" w:line="240" w:lineRule="auto"/>
              <w:jc w:val="center"/>
              <w:rPr>
                <w:rFonts w:ascii="Calibri" w:eastAsia="Times New Roman" w:hAnsi="Calibri" w:cs="Calibri"/>
                <w:sz w:val="20"/>
                <w:szCs w:val="20"/>
                <w:highlight w:val="yellow"/>
                <w:lang w:eastAsia="en-GB"/>
              </w:rPr>
            </w:pPr>
            <w:r w:rsidRPr="006E54CE">
              <w:rPr>
                <w:rFonts w:ascii="Calibri" w:hAnsi="Calibri" w:cs="Calibri"/>
                <w:color w:val="000000"/>
                <w:sz w:val="20"/>
                <w:szCs w:val="20"/>
              </w:rPr>
              <w:t>38</w:t>
            </w:r>
          </w:p>
        </w:tc>
        <w:tc>
          <w:tcPr>
            <w:tcW w:w="960" w:type="dxa"/>
            <w:tcBorders>
              <w:top w:val="nil"/>
              <w:left w:val="nil"/>
              <w:bottom w:val="single" w:sz="4" w:space="0" w:color="auto"/>
              <w:right w:val="single" w:sz="4" w:space="0" w:color="BFBFBF"/>
            </w:tcBorders>
            <w:shd w:val="clear" w:color="000000" w:fill="FFFFFF"/>
            <w:vAlign w:val="center"/>
          </w:tcPr>
          <w:p w14:paraId="463619D8" w14:textId="0BD4CF0F"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66.67%</w:t>
            </w:r>
          </w:p>
        </w:tc>
        <w:tc>
          <w:tcPr>
            <w:tcW w:w="960" w:type="dxa"/>
            <w:tcBorders>
              <w:top w:val="nil"/>
              <w:left w:val="nil"/>
              <w:bottom w:val="single" w:sz="4" w:space="0" w:color="auto"/>
              <w:right w:val="single" w:sz="4" w:space="0" w:color="auto"/>
            </w:tcBorders>
            <w:shd w:val="clear" w:color="000000" w:fill="FFFFFF"/>
            <w:vAlign w:val="center"/>
          </w:tcPr>
          <w:p w14:paraId="248A4392" w14:textId="028A4335"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33.33%</w:t>
            </w:r>
          </w:p>
        </w:tc>
        <w:tc>
          <w:tcPr>
            <w:tcW w:w="1078" w:type="dxa"/>
            <w:tcBorders>
              <w:top w:val="nil"/>
              <w:left w:val="nil"/>
              <w:bottom w:val="single" w:sz="4" w:space="0" w:color="auto"/>
              <w:right w:val="single" w:sz="4" w:space="0" w:color="BFBFBF"/>
            </w:tcBorders>
            <w:noWrap/>
            <w:vAlign w:val="center"/>
          </w:tcPr>
          <w:p w14:paraId="674EF22E" w14:textId="139B28DE"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2.56%</w:t>
            </w:r>
          </w:p>
        </w:tc>
        <w:tc>
          <w:tcPr>
            <w:tcW w:w="842" w:type="dxa"/>
            <w:tcBorders>
              <w:top w:val="nil"/>
              <w:left w:val="nil"/>
              <w:bottom w:val="single" w:sz="4" w:space="0" w:color="auto"/>
              <w:right w:val="single" w:sz="4" w:space="0" w:color="auto"/>
            </w:tcBorders>
            <w:noWrap/>
            <w:vAlign w:val="center"/>
          </w:tcPr>
          <w:p w14:paraId="5AADCD1D" w14:textId="163F6937"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-2.56%</w:t>
            </w:r>
          </w:p>
        </w:tc>
      </w:tr>
      <w:tr w:rsidR="006E54CE" w:rsidRPr="00786A41" w14:paraId="010CF40B" w14:textId="77777777" w:rsidTr="006E54CE">
        <w:trPr>
          <w:trHeight w:val="315"/>
        </w:trPr>
        <w:tc>
          <w:tcPr>
            <w:tcW w:w="1118" w:type="dxa"/>
            <w:tcBorders>
              <w:top w:val="single" w:sz="4" w:space="0" w:color="auto"/>
              <w:left w:val="single" w:sz="8" w:space="0" w:color="auto"/>
              <w:bottom w:val="single" w:sz="8" w:space="0" w:color="auto"/>
              <w:right w:val="nil"/>
            </w:tcBorders>
            <w:shd w:val="clear" w:color="000000" w:fill="D9E1F2"/>
            <w:noWrap/>
            <w:vAlign w:val="center"/>
          </w:tcPr>
          <w:p w14:paraId="3E6410B8" w14:textId="19AF2D35" w:rsidR="006E54CE" w:rsidRPr="00786A41" w:rsidRDefault="006E54CE" w:rsidP="006E54CE">
            <w:pPr>
              <w:spacing w:after="0" w:line="240" w:lineRule="auto"/>
              <w:rPr>
                <w:rFonts w:ascii="Calibri" w:eastAsia="Times New Roman" w:hAnsi="Calibri" w:cs="Calibri"/>
                <w:b/>
                <w:bCs/>
                <w:sz w:val="20"/>
                <w:szCs w:val="20"/>
                <w:lang w:eastAsia="en-GB"/>
              </w:rPr>
            </w:pPr>
            <w:r w:rsidRPr="00786A41">
              <w:rPr>
                <w:rFonts w:ascii="Calibri" w:eastAsia="Times New Roman" w:hAnsi="Calibri" w:cs="Calibri"/>
                <w:b/>
                <w:bCs/>
                <w:sz w:val="20"/>
                <w:szCs w:val="20"/>
                <w:lang w:eastAsia="en-GB"/>
              </w:rPr>
              <w:t>TOTAL</w:t>
            </w:r>
          </w:p>
        </w:tc>
        <w:tc>
          <w:tcPr>
            <w:tcW w:w="960" w:type="dxa"/>
            <w:tcBorders>
              <w:top w:val="single" w:sz="4" w:space="0" w:color="auto"/>
              <w:left w:val="single" w:sz="4" w:space="0" w:color="auto"/>
              <w:bottom w:val="single" w:sz="8" w:space="0" w:color="auto"/>
              <w:right w:val="single" w:sz="4" w:space="0" w:color="BFBFBF"/>
            </w:tcBorders>
            <w:shd w:val="clear" w:color="000000" w:fill="FFFFFF"/>
            <w:vAlign w:val="center"/>
          </w:tcPr>
          <w:p w14:paraId="1FE23E7C" w14:textId="2D3E7322"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394</w:t>
            </w:r>
          </w:p>
        </w:tc>
        <w:tc>
          <w:tcPr>
            <w:tcW w:w="960" w:type="dxa"/>
            <w:tcBorders>
              <w:top w:val="single" w:sz="4" w:space="0" w:color="auto"/>
              <w:left w:val="nil"/>
              <w:bottom w:val="single" w:sz="8" w:space="0" w:color="auto"/>
              <w:right w:val="single" w:sz="4" w:space="0" w:color="BFBFBF"/>
            </w:tcBorders>
            <w:shd w:val="clear" w:color="000000" w:fill="FFFFFF"/>
            <w:vAlign w:val="center"/>
          </w:tcPr>
          <w:p w14:paraId="4583D424" w14:textId="074C4BCC"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68</w:t>
            </w:r>
          </w:p>
        </w:tc>
        <w:tc>
          <w:tcPr>
            <w:tcW w:w="960" w:type="dxa"/>
            <w:tcBorders>
              <w:top w:val="single" w:sz="4" w:space="0" w:color="auto"/>
              <w:left w:val="nil"/>
              <w:bottom w:val="single" w:sz="8" w:space="0" w:color="auto"/>
              <w:right w:val="single" w:sz="4" w:space="0" w:color="BFBFBF"/>
            </w:tcBorders>
            <w:shd w:val="clear" w:color="000000" w:fill="FFFFFF"/>
            <w:vAlign w:val="center"/>
          </w:tcPr>
          <w:p w14:paraId="6D6E52A6" w14:textId="69ACDCAC"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85.28%</w:t>
            </w:r>
          </w:p>
        </w:tc>
        <w:tc>
          <w:tcPr>
            <w:tcW w:w="960" w:type="dxa"/>
            <w:tcBorders>
              <w:top w:val="single" w:sz="4" w:space="0" w:color="auto"/>
              <w:left w:val="nil"/>
              <w:bottom w:val="single" w:sz="8" w:space="0" w:color="auto"/>
              <w:right w:val="single" w:sz="4" w:space="0" w:color="auto"/>
            </w:tcBorders>
            <w:shd w:val="clear" w:color="000000" w:fill="FFFFFF"/>
            <w:vAlign w:val="center"/>
          </w:tcPr>
          <w:p w14:paraId="3C65A7E3" w14:textId="6F877800"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14.72%</w:t>
            </w:r>
          </w:p>
        </w:tc>
        <w:tc>
          <w:tcPr>
            <w:tcW w:w="960" w:type="dxa"/>
            <w:tcBorders>
              <w:top w:val="single" w:sz="4" w:space="0" w:color="auto"/>
              <w:left w:val="nil"/>
              <w:bottom w:val="single" w:sz="8" w:space="0" w:color="auto"/>
              <w:right w:val="single" w:sz="4" w:space="0" w:color="BFBFBF"/>
            </w:tcBorders>
            <w:shd w:val="clear" w:color="000000" w:fill="FFFFFF"/>
            <w:vAlign w:val="center"/>
          </w:tcPr>
          <w:p w14:paraId="22E6736D" w14:textId="7AA5EA7E"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391</w:t>
            </w:r>
          </w:p>
        </w:tc>
        <w:tc>
          <w:tcPr>
            <w:tcW w:w="960" w:type="dxa"/>
            <w:tcBorders>
              <w:top w:val="single" w:sz="4" w:space="0" w:color="auto"/>
              <w:left w:val="nil"/>
              <w:bottom w:val="single" w:sz="8" w:space="0" w:color="auto"/>
              <w:right w:val="single" w:sz="4" w:space="0" w:color="BFBFBF"/>
            </w:tcBorders>
            <w:shd w:val="clear" w:color="000000" w:fill="FFFFFF"/>
            <w:vAlign w:val="center"/>
          </w:tcPr>
          <w:p w14:paraId="7DE6ECC4" w14:textId="106D6892"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65</w:t>
            </w:r>
          </w:p>
        </w:tc>
        <w:tc>
          <w:tcPr>
            <w:tcW w:w="960" w:type="dxa"/>
            <w:tcBorders>
              <w:top w:val="single" w:sz="4" w:space="0" w:color="auto"/>
              <w:left w:val="nil"/>
              <w:bottom w:val="single" w:sz="8" w:space="0" w:color="auto"/>
              <w:right w:val="single" w:sz="4" w:space="0" w:color="BFBFBF"/>
            </w:tcBorders>
            <w:shd w:val="clear" w:color="000000" w:fill="FFFFFF"/>
            <w:vAlign w:val="center"/>
          </w:tcPr>
          <w:p w14:paraId="1F16290B" w14:textId="5AFB3546"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85.75%</w:t>
            </w:r>
          </w:p>
        </w:tc>
        <w:tc>
          <w:tcPr>
            <w:tcW w:w="960" w:type="dxa"/>
            <w:tcBorders>
              <w:top w:val="single" w:sz="4" w:space="0" w:color="auto"/>
              <w:left w:val="nil"/>
              <w:bottom w:val="single" w:sz="8" w:space="0" w:color="auto"/>
              <w:right w:val="single" w:sz="4" w:space="0" w:color="auto"/>
            </w:tcBorders>
            <w:shd w:val="clear" w:color="000000" w:fill="FFFFFF"/>
            <w:vAlign w:val="center"/>
          </w:tcPr>
          <w:p w14:paraId="30315EFE" w14:textId="59C541A4"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14.25%</w:t>
            </w:r>
          </w:p>
        </w:tc>
        <w:tc>
          <w:tcPr>
            <w:tcW w:w="1078" w:type="dxa"/>
            <w:tcBorders>
              <w:top w:val="single" w:sz="4" w:space="0" w:color="auto"/>
              <w:left w:val="nil"/>
              <w:bottom w:val="single" w:sz="8" w:space="0" w:color="auto"/>
              <w:right w:val="single" w:sz="4" w:space="0" w:color="BFBFBF"/>
            </w:tcBorders>
            <w:noWrap/>
            <w:vAlign w:val="center"/>
          </w:tcPr>
          <w:p w14:paraId="71160180" w14:textId="2604CB67"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0.46%</w:t>
            </w:r>
          </w:p>
        </w:tc>
        <w:tc>
          <w:tcPr>
            <w:tcW w:w="842" w:type="dxa"/>
            <w:tcBorders>
              <w:top w:val="single" w:sz="4" w:space="0" w:color="auto"/>
              <w:left w:val="nil"/>
              <w:bottom w:val="single" w:sz="8" w:space="0" w:color="auto"/>
              <w:right w:val="single" w:sz="8" w:space="0" w:color="auto"/>
            </w:tcBorders>
            <w:noWrap/>
            <w:vAlign w:val="center"/>
          </w:tcPr>
          <w:p w14:paraId="7444736C" w14:textId="7B12D47B" w:rsidR="006E54CE" w:rsidRPr="00234657" w:rsidRDefault="006E54CE" w:rsidP="006E54CE">
            <w:pPr>
              <w:spacing w:after="0" w:line="240" w:lineRule="auto"/>
              <w:jc w:val="center"/>
              <w:rPr>
                <w:rFonts w:ascii="Calibri" w:eastAsia="Times New Roman" w:hAnsi="Calibri" w:cs="Calibri"/>
                <w:sz w:val="20"/>
                <w:szCs w:val="20"/>
                <w:highlight w:val="yellow"/>
                <w:lang w:eastAsia="en-GB"/>
              </w:rPr>
            </w:pPr>
            <w:r>
              <w:rPr>
                <w:rFonts w:ascii="Calibri" w:hAnsi="Calibri" w:cs="Calibri"/>
                <w:color w:val="000000"/>
                <w:sz w:val="20"/>
                <w:szCs w:val="20"/>
              </w:rPr>
              <w:t>-0.46%</w:t>
            </w:r>
          </w:p>
        </w:tc>
      </w:tr>
    </w:tbl>
    <w:p w14:paraId="04D82309" w14:textId="378012D3" w:rsidR="002E5FBF" w:rsidRPr="00786A41" w:rsidRDefault="00A1565F" w:rsidP="002E5FBF">
      <w:pPr>
        <w:ind w:left="1440"/>
        <w:jc w:val="right"/>
        <w:rPr>
          <w:b/>
          <w:bCs/>
        </w:rPr>
      </w:pPr>
      <w:r w:rsidRPr="00786A41">
        <w:rPr>
          <w:b/>
          <w:bCs/>
        </w:rPr>
        <w:t>Table 2</w:t>
      </w:r>
    </w:p>
    <w:p w14:paraId="5F079ED1" w14:textId="77777777" w:rsidR="00786A41" w:rsidRPr="00A34BB8" w:rsidRDefault="00786A41">
      <w:pPr>
        <w:rPr>
          <w:sz w:val="16"/>
          <w:szCs w:val="16"/>
        </w:rPr>
      </w:pPr>
    </w:p>
    <w:p w14:paraId="5E1A7FBB" w14:textId="7A32BEBC" w:rsidR="00C84DC3" w:rsidRDefault="00C84DC3">
      <w:r>
        <w:t>There has been a small shift in the quartile 4 gender split, with male counts decreasing to 33.33% and females increasing to 66.67%</w:t>
      </w:r>
    </w:p>
    <w:p w14:paraId="06480950" w14:textId="61E815BB" w:rsidR="00A1565F" w:rsidRPr="00A34BB8" w:rsidRDefault="00AF57B5" w:rsidP="00AF57B5">
      <w:pPr>
        <w:pStyle w:val="ListParagraph"/>
        <w:numPr>
          <w:ilvl w:val="0"/>
          <w:numId w:val="20"/>
        </w:numPr>
        <w:rPr>
          <w:b/>
          <w:bCs/>
        </w:rPr>
      </w:pPr>
      <w:r w:rsidRPr="00A34BB8">
        <w:rPr>
          <w:b/>
          <w:bCs/>
        </w:rPr>
        <w:t>Findings</w:t>
      </w:r>
    </w:p>
    <w:p w14:paraId="5C268E36" w14:textId="77777777" w:rsidR="00DA7012" w:rsidRPr="00A34BB8" w:rsidRDefault="00DA7012" w:rsidP="00DA7012">
      <w:pPr>
        <w:pStyle w:val="ListParagraph"/>
        <w:ind w:left="360"/>
        <w:rPr>
          <w:b/>
          <w:bCs/>
        </w:rPr>
      </w:pPr>
    </w:p>
    <w:p w14:paraId="7E3E5829" w14:textId="049E77B5" w:rsidR="002D57FF" w:rsidRPr="00A34BB8" w:rsidRDefault="00C84DC3" w:rsidP="00E0072A">
      <w:pPr>
        <w:pStyle w:val="ListParagraph"/>
        <w:ind w:left="0"/>
      </w:pPr>
      <w:r>
        <w:t>Whilst there was a decrease in the</w:t>
      </w:r>
      <w:r w:rsidRPr="00A34BB8">
        <w:t xml:space="preserve"> Gender Pay Gaps for Mean rates</w:t>
      </w:r>
      <w:r>
        <w:t xml:space="preserve">, </w:t>
      </w:r>
      <w:r w:rsidRPr="00A34BB8">
        <w:t>there</w:t>
      </w:r>
      <w:r w:rsidR="00C3767C" w:rsidRPr="00A34BB8">
        <w:t xml:space="preserve"> </w:t>
      </w:r>
      <w:r>
        <w:t xml:space="preserve">is still a </w:t>
      </w:r>
      <w:r w:rsidR="00C3767C" w:rsidRPr="00A34BB8">
        <w:t xml:space="preserve">significant </w:t>
      </w:r>
      <w:r w:rsidR="002D57FF" w:rsidRPr="00A34BB8">
        <w:t xml:space="preserve">Gender Pay Gaps </w:t>
      </w:r>
      <w:r w:rsidR="00C3767C" w:rsidRPr="00A34BB8">
        <w:t>for</w:t>
      </w:r>
      <w:r w:rsidR="002D57FF" w:rsidRPr="00A34BB8">
        <w:t xml:space="preserve"> </w:t>
      </w:r>
      <w:r w:rsidR="00C3767C" w:rsidRPr="00A34BB8">
        <w:t xml:space="preserve">both </w:t>
      </w:r>
      <w:r w:rsidR="002D57FF" w:rsidRPr="00A34BB8">
        <w:t>the Mean and Median rate</w:t>
      </w:r>
      <w:r w:rsidR="00C3767C" w:rsidRPr="00A34BB8">
        <w:t>s.</w:t>
      </w:r>
    </w:p>
    <w:p w14:paraId="353B1373" w14:textId="2BFC63EB" w:rsidR="00E0072A" w:rsidRPr="00A34BB8" w:rsidRDefault="00C201FF" w:rsidP="00E0072A">
      <w:r w:rsidRPr="00A34BB8">
        <w:t>Male employees are employed in the higher quartiles at a disproportionate rate</w:t>
      </w:r>
      <w:r w:rsidR="00A34BB8" w:rsidRPr="00A34BB8">
        <w:t xml:space="preserve">.  Male employees make up </w:t>
      </w:r>
      <w:r w:rsidR="00A34BB8" w:rsidRPr="00E841CD">
        <w:t xml:space="preserve">only </w:t>
      </w:r>
      <w:r w:rsidR="00E841CD" w:rsidRPr="00E841CD">
        <w:t>14.</w:t>
      </w:r>
      <w:r w:rsidR="00C84DC3">
        <w:t>25</w:t>
      </w:r>
      <w:r w:rsidR="00A34BB8" w:rsidRPr="00E841CD">
        <w:t xml:space="preserve">% of the workforce, </w:t>
      </w:r>
      <w:r w:rsidR="00A05E5A">
        <w:t>58.46</w:t>
      </w:r>
      <w:r w:rsidR="00A34BB8" w:rsidRPr="00E841CD">
        <w:t>% of</w:t>
      </w:r>
      <w:r w:rsidR="00A34BB8" w:rsidRPr="00A34BB8">
        <w:t xml:space="preserve"> Quartile 4 are male.</w:t>
      </w:r>
      <w:r w:rsidR="00634AC6">
        <w:t xml:space="preserve">  </w:t>
      </w:r>
    </w:p>
    <w:p w14:paraId="6AA025CC" w14:textId="1B86DB01" w:rsidR="00E0072A" w:rsidRPr="00E841CD" w:rsidRDefault="00E0072A" w:rsidP="00E0072A">
      <w:pPr>
        <w:rPr>
          <w:rFonts w:ascii="Calibri" w:eastAsia="Times New Roman" w:hAnsi="Calibri" w:cs="Calibri"/>
          <w:color w:val="000000"/>
          <w:lang w:eastAsia="en-GB"/>
        </w:rPr>
      </w:pPr>
      <w:r w:rsidRPr="00A34BB8">
        <w:t xml:space="preserve">Of the </w:t>
      </w:r>
      <w:r w:rsidR="00E841CD">
        <w:t>11</w:t>
      </w:r>
      <w:r w:rsidR="00C84DC3">
        <w:t>4</w:t>
      </w:r>
      <w:r w:rsidRPr="00A34BB8">
        <w:t xml:space="preserve"> employees in Quartile 1, </w:t>
      </w:r>
      <w:r w:rsidR="00E841CD">
        <w:t>10</w:t>
      </w:r>
      <w:r w:rsidR="00C84DC3">
        <w:t>4</w:t>
      </w:r>
      <w:r w:rsidRPr="00A34BB8">
        <w:t xml:space="preserve"> are in the Administrative and Clerical Staff Group.  Of these, </w:t>
      </w:r>
      <w:r w:rsidR="00E841CD">
        <w:t>9</w:t>
      </w:r>
      <w:r w:rsidR="00C84DC3">
        <w:t>5</w:t>
      </w:r>
      <w:r w:rsidRPr="00A34BB8">
        <w:t xml:space="preserve"> </w:t>
      </w:r>
      <w:r w:rsidR="00C84DC3">
        <w:t>(</w:t>
      </w:r>
      <w:r w:rsidR="00E841CD" w:rsidRPr="00E841CD">
        <w:rPr>
          <w:rFonts w:ascii="Calibri" w:eastAsia="Times New Roman" w:hAnsi="Calibri" w:cs="Calibri"/>
          <w:color w:val="000000"/>
          <w:lang w:eastAsia="en-GB"/>
        </w:rPr>
        <w:t>91.</w:t>
      </w:r>
      <w:r w:rsidR="00C84DC3">
        <w:rPr>
          <w:rFonts w:ascii="Calibri" w:eastAsia="Times New Roman" w:hAnsi="Calibri" w:cs="Calibri"/>
          <w:color w:val="000000"/>
          <w:lang w:eastAsia="en-GB"/>
        </w:rPr>
        <w:t>35</w:t>
      </w:r>
      <w:r w:rsidR="00E841CD" w:rsidRPr="00E841CD">
        <w:rPr>
          <w:rFonts w:ascii="Calibri" w:eastAsia="Times New Roman" w:hAnsi="Calibri" w:cs="Calibri"/>
          <w:color w:val="000000"/>
          <w:lang w:eastAsia="en-GB"/>
        </w:rPr>
        <w:t>%</w:t>
      </w:r>
      <w:r w:rsidR="00C84DC3">
        <w:rPr>
          <w:rFonts w:ascii="Calibri" w:eastAsia="Times New Roman" w:hAnsi="Calibri" w:cs="Calibri"/>
          <w:color w:val="000000"/>
          <w:lang w:eastAsia="en-GB"/>
        </w:rPr>
        <w:t>)</w:t>
      </w:r>
      <w:r w:rsidR="00E841CD">
        <w:rPr>
          <w:rFonts w:ascii="Calibri" w:eastAsia="Times New Roman" w:hAnsi="Calibri" w:cs="Calibri"/>
          <w:color w:val="000000"/>
          <w:lang w:eastAsia="en-GB"/>
        </w:rPr>
        <w:t xml:space="preserve"> </w:t>
      </w:r>
      <w:r w:rsidRPr="00A34BB8">
        <w:t>are female</w:t>
      </w:r>
      <w:r w:rsidR="00A34BB8" w:rsidRPr="00A34BB8">
        <w:t>.</w:t>
      </w:r>
    </w:p>
    <w:p w14:paraId="19FE699B" w14:textId="207035EA" w:rsidR="00E0072A" w:rsidRPr="00A34BB8" w:rsidRDefault="00E0072A" w:rsidP="00E0072A">
      <w:pPr>
        <w:tabs>
          <w:tab w:val="left" w:pos="2040"/>
        </w:tabs>
      </w:pPr>
      <w:r w:rsidRPr="00A34BB8">
        <w:t>The distribution of male/female staff across  the quartiles is as follows:</w:t>
      </w:r>
    </w:p>
    <w:tbl>
      <w:tblPr>
        <w:tblW w:w="6334" w:type="dxa"/>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960"/>
        <w:gridCol w:w="960"/>
        <w:gridCol w:w="960"/>
        <w:gridCol w:w="960"/>
        <w:gridCol w:w="1376"/>
      </w:tblGrid>
      <w:tr w:rsidR="00E0072A" w:rsidRPr="007515BB" w14:paraId="08759D8A" w14:textId="77777777" w:rsidTr="00C21215">
        <w:trPr>
          <w:trHeight w:val="300"/>
        </w:trPr>
        <w:tc>
          <w:tcPr>
            <w:tcW w:w="1118" w:type="dxa"/>
            <w:noWrap/>
            <w:vAlign w:val="center"/>
            <w:hideMark/>
          </w:tcPr>
          <w:p w14:paraId="7C7C3213" w14:textId="77777777" w:rsidR="00E0072A" w:rsidRPr="007515BB" w:rsidRDefault="00E0072A" w:rsidP="00C21215">
            <w:pPr>
              <w:spacing w:after="0" w:line="240" w:lineRule="auto"/>
              <w:rPr>
                <w:rFonts w:ascii="Calibri" w:eastAsia="Times New Roman" w:hAnsi="Calibri" w:cs="Calibri"/>
                <w:color w:val="FF0000"/>
                <w:sz w:val="20"/>
                <w:szCs w:val="20"/>
                <w:lang w:eastAsia="en-GB"/>
              </w:rPr>
            </w:pPr>
            <w:r w:rsidRPr="007515BB">
              <w:rPr>
                <w:rFonts w:ascii="Calibri" w:eastAsia="Times New Roman" w:hAnsi="Calibri" w:cs="Calibri"/>
                <w:color w:val="FF0000"/>
                <w:sz w:val="20"/>
                <w:szCs w:val="20"/>
                <w:lang w:eastAsia="en-GB"/>
              </w:rPr>
              <w:t> </w:t>
            </w:r>
          </w:p>
        </w:tc>
        <w:tc>
          <w:tcPr>
            <w:tcW w:w="5216" w:type="dxa"/>
            <w:gridSpan w:val="5"/>
            <w:shd w:val="clear" w:color="auto" w:fill="D9E2F3" w:themeFill="accent1" w:themeFillTint="33"/>
            <w:noWrap/>
            <w:vAlign w:val="center"/>
            <w:hideMark/>
          </w:tcPr>
          <w:p w14:paraId="439A1071" w14:textId="77777777" w:rsidR="00E0072A" w:rsidRPr="0071121F" w:rsidRDefault="00E0072A" w:rsidP="00C21215">
            <w:pPr>
              <w:spacing w:after="0" w:line="240" w:lineRule="auto"/>
              <w:jc w:val="center"/>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Quartile</w:t>
            </w:r>
          </w:p>
        </w:tc>
      </w:tr>
      <w:tr w:rsidR="00E0072A" w:rsidRPr="007515BB" w14:paraId="798FF557" w14:textId="77777777" w:rsidTr="00C21215">
        <w:trPr>
          <w:trHeight w:val="300"/>
        </w:trPr>
        <w:tc>
          <w:tcPr>
            <w:tcW w:w="1118" w:type="dxa"/>
            <w:shd w:val="clear" w:color="000000" w:fill="D9E1F2"/>
            <w:noWrap/>
            <w:vAlign w:val="center"/>
            <w:hideMark/>
          </w:tcPr>
          <w:p w14:paraId="23296C7C" w14:textId="77777777" w:rsidR="00E0072A" w:rsidRPr="0071121F" w:rsidRDefault="00E0072A" w:rsidP="00C21215">
            <w:pPr>
              <w:spacing w:after="0" w:line="240" w:lineRule="auto"/>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Gender</w:t>
            </w:r>
          </w:p>
        </w:tc>
        <w:tc>
          <w:tcPr>
            <w:tcW w:w="960" w:type="dxa"/>
            <w:shd w:val="clear" w:color="auto" w:fill="D9E2F3" w:themeFill="accent1" w:themeFillTint="33"/>
            <w:noWrap/>
            <w:vAlign w:val="center"/>
            <w:hideMark/>
          </w:tcPr>
          <w:p w14:paraId="0733911D" w14:textId="77777777" w:rsidR="00E0072A" w:rsidRPr="0071121F" w:rsidRDefault="00E0072A" w:rsidP="00C21215">
            <w:pPr>
              <w:spacing w:after="0" w:line="240" w:lineRule="auto"/>
              <w:jc w:val="center"/>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1</w:t>
            </w:r>
          </w:p>
        </w:tc>
        <w:tc>
          <w:tcPr>
            <w:tcW w:w="960" w:type="dxa"/>
            <w:shd w:val="clear" w:color="auto" w:fill="D9E2F3" w:themeFill="accent1" w:themeFillTint="33"/>
            <w:noWrap/>
            <w:vAlign w:val="center"/>
            <w:hideMark/>
          </w:tcPr>
          <w:p w14:paraId="6052C4A0" w14:textId="77777777" w:rsidR="00E0072A" w:rsidRPr="0071121F" w:rsidRDefault="00E0072A" w:rsidP="00C21215">
            <w:pPr>
              <w:spacing w:after="0" w:line="240" w:lineRule="auto"/>
              <w:jc w:val="center"/>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2</w:t>
            </w:r>
          </w:p>
        </w:tc>
        <w:tc>
          <w:tcPr>
            <w:tcW w:w="960" w:type="dxa"/>
            <w:shd w:val="clear" w:color="auto" w:fill="D9E2F3" w:themeFill="accent1" w:themeFillTint="33"/>
            <w:noWrap/>
            <w:vAlign w:val="center"/>
            <w:hideMark/>
          </w:tcPr>
          <w:p w14:paraId="624E05B7" w14:textId="77777777" w:rsidR="00E0072A" w:rsidRPr="0071121F" w:rsidRDefault="00E0072A" w:rsidP="00C21215">
            <w:pPr>
              <w:spacing w:after="0" w:line="240" w:lineRule="auto"/>
              <w:jc w:val="center"/>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3</w:t>
            </w:r>
          </w:p>
        </w:tc>
        <w:tc>
          <w:tcPr>
            <w:tcW w:w="960" w:type="dxa"/>
            <w:shd w:val="clear" w:color="auto" w:fill="D9E2F3" w:themeFill="accent1" w:themeFillTint="33"/>
            <w:noWrap/>
            <w:vAlign w:val="center"/>
            <w:hideMark/>
          </w:tcPr>
          <w:p w14:paraId="663E2448" w14:textId="77777777" w:rsidR="00E0072A" w:rsidRPr="0071121F" w:rsidRDefault="00E0072A" w:rsidP="00C21215">
            <w:pPr>
              <w:spacing w:after="0" w:line="240" w:lineRule="auto"/>
              <w:jc w:val="center"/>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4</w:t>
            </w:r>
          </w:p>
        </w:tc>
        <w:tc>
          <w:tcPr>
            <w:tcW w:w="1376" w:type="dxa"/>
            <w:shd w:val="clear" w:color="auto" w:fill="BDD6EE" w:themeFill="accent5" w:themeFillTint="66"/>
            <w:noWrap/>
            <w:vAlign w:val="center"/>
            <w:hideMark/>
          </w:tcPr>
          <w:p w14:paraId="7902C016" w14:textId="77777777" w:rsidR="00E0072A" w:rsidRPr="0071121F" w:rsidRDefault="00E0072A" w:rsidP="00C21215">
            <w:pPr>
              <w:spacing w:after="0" w:line="240" w:lineRule="auto"/>
              <w:jc w:val="center"/>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Total</w:t>
            </w:r>
          </w:p>
        </w:tc>
      </w:tr>
      <w:tr w:rsidR="00C84DC3" w:rsidRPr="00A05EDF" w14:paraId="32675941" w14:textId="77777777" w:rsidTr="00C84DC3">
        <w:trPr>
          <w:trHeight w:val="300"/>
        </w:trPr>
        <w:tc>
          <w:tcPr>
            <w:tcW w:w="1118" w:type="dxa"/>
            <w:shd w:val="clear" w:color="000000" w:fill="D9E1F2"/>
            <w:noWrap/>
            <w:vAlign w:val="center"/>
            <w:hideMark/>
          </w:tcPr>
          <w:p w14:paraId="22C3F36F" w14:textId="77777777" w:rsidR="00C84DC3" w:rsidRPr="0071121F" w:rsidRDefault="00C84DC3" w:rsidP="00C84DC3">
            <w:pPr>
              <w:spacing w:after="0" w:line="240" w:lineRule="auto"/>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Male</w:t>
            </w:r>
          </w:p>
        </w:tc>
        <w:tc>
          <w:tcPr>
            <w:tcW w:w="960" w:type="dxa"/>
            <w:noWrap/>
            <w:vAlign w:val="center"/>
            <w:hideMark/>
          </w:tcPr>
          <w:p w14:paraId="525EA14B" w14:textId="672E8D00" w:rsidR="00C84DC3" w:rsidRPr="00C84DC3" w:rsidRDefault="00C84DC3" w:rsidP="00C84DC3">
            <w:pPr>
              <w:spacing w:after="0" w:line="240" w:lineRule="auto"/>
              <w:jc w:val="center"/>
              <w:rPr>
                <w:rFonts w:ascii="Calibri" w:eastAsia="Times New Roman" w:hAnsi="Calibri" w:cs="Calibri"/>
                <w:color w:val="000000" w:themeColor="text1"/>
                <w:sz w:val="20"/>
                <w:szCs w:val="20"/>
                <w:highlight w:val="yellow"/>
                <w:lang w:eastAsia="en-GB"/>
              </w:rPr>
            </w:pPr>
            <w:r w:rsidRPr="00C84DC3">
              <w:rPr>
                <w:sz w:val="20"/>
                <w:szCs w:val="20"/>
              </w:rPr>
              <w:t>13.85%</w:t>
            </w:r>
          </w:p>
        </w:tc>
        <w:tc>
          <w:tcPr>
            <w:tcW w:w="960" w:type="dxa"/>
            <w:noWrap/>
            <w:vAlign w:val="center"/>
            <w:hideMark/>
          </w:tcPr>
          <w:p w14:paraId="135EAE63" w14:textId="714B135F" w:rsidR="00C84DC3" w:rsidRPr="00C84DC3" w:rsidRDefault="00C84DC3" w:rsidP="00C84DC3">
            <w:pPr>
              <w:spacing w:after="0" w:line="240" w:lineRule="auto"/>
              <w:jc w:val="center"/>
              <w:rPr>
                <w:rFonts w:ascii="Calibri" w:eastAsia="Times New Roman" w:hAnsi="Calibri" w:cs="Calibri"/>
                <w:color w:val="000000" w:themeColor="text1"/>
                <w:sz w:val="20"/>
                <w:szCs w:val="20"/>
                <w:highlight w:val="yellow"/>
                <w:lang w:eastAsia="en-GB"/>
              </w:rPr>
            </w:pPr>
            <w:r w:rsidRPr="00C84DC3">
              <w:rPr>
                <w:sz w:val="20"/>
                <w:szCs w:val="20"/>
              </w:rPr>
              <w:t>10.77%</w:t>
            </w:r>
          </w:p>
        </w:tc>
        <w:tc>
          <w:tcPr>
            <w:tcW w:w="960" w:type="dxa"/>
            <w:noWrap/>
            <w:vAlign w:val="center"/>
            <w:hideMark/>
          </w:tcPr>
          <w:p w14:paraId="3254D446" w14:textId="0A0296DB" w:rsidR="00C84DC3" w:rsidRPr="00C84DC3" w:rsidRDefault="00C84DC3" w:rsidP="00C84DC3">
            <w:pPr>
              <w:spacing w:after="0" w:line="240" w:lineRule="auto"/>
              <w:jc w:val="center"/>
              <w:rPr>
                <w:rFonts w:ascii="Calibri" w:eastAsia="Times New Roman" w:hAnsi="Calibri" w:cs="Calibri"/>
                <w:color w:val="000000" w:themeColor="text1"/>
                <w:sz w:val="20"/>
                <w:szCs w:val="20"/>
                <w:highlight w:val="yellow"/>
                <w:lang w:eastAsia="en-GB"/>
              </w:rPr>
            </w:pPr>
            <w:r w:rsidRPr="00C84DC3">
              <w:rPr>
                <w:sz w:val="20"/>
                <w:szCs w:val="20"/>
              </w:rPr>
              <w:t>16.92%</w:t>
            </w:r>
          </w:p>
        </w:tc>
        <w:tc>
          <w:tcPr>
            <w:tcW w:w="960" w:type="dxa"/>
            <w:noWrap/>
            <w:vAlign w:val="center"/>
            <w:hideMark/>
          </w:tcPr>
          <w:p w14:paraId="7B603FC4" w14:textId="6BADDB58" w:rsidR="00C84DC3" w:rsidRPr="00C84DC3" w:rsidRDefault="00C84DC3" w:rsidP="00C84DC3">
            <w:pPr>
              <w:spacing w:after="0" w:line="240" w:lineRule="auto"/>
              <w:jc w:val="center"/>
              <w:rPr>
                <w:rFonts w:ascii="Calibri" w:eastAsia="Times New Roman" w:hAnsi="Calibri" w:cs="Calibri"/>
                <w:color w:val="000000" w:themeColor="text1"/>
                <w:sz w:val="20"/>
                <w:szCs w:val="20"/>
                <w:highlight w:val="yellow"/>
                <w:lang w:eastAsia="en-GB"/>
              </w:rPr>
            </w:pPr>
            <w:r w:rsidRPr="00C84DC3">
              <w:rPr>
                <w:sz w:val="20"/>
                <w:szCs w:val="20"/>
              </w:rPr>
              <w:t>58.46%</w:t>
            </w:r>
          </w:p>
        </w:tc>
        <w:tc>
          <w:tcPr>
            <w:tcW w:w="1376" w:type="dxa"/>
            <w:noWrap/>
            <w:vAlign w:val="center"/>
            <w:hideMark/>
          </w:tcPr>
          <w:p w14:paraId="367B4734" w14:textId="218E4998" w:rsidR="00C84DC3" w:rsidRPr="00C84DC3" w:rsidRDefault="00C84DC3" w:rsidP="00C84DC3">
            <w:pPr>
              <w:spacing w:after="0" w:line="240" w:lineRule="auto"/>
              <w:jc w:val="center"/>
              <w:rPr>
                <w:rFonts w:ascii="Calibri" w:eastAsia="Times New Roman" w:hAnsi="Calibri" w:cs="Calibri"/>
                <w:color w:val="000000" w:themeColor="text1"/>
                <w:sz w:val="20"/>
                <w:szCs w:val="20"/>
                <w:lang w:eastAsia="en-GB"/>
              </w:rPr>
            </w:pPr>
            <w:r w:rsidRPr="00C84DC3">
              <w:rPr>
                <w:rFonts w:ascii="Calibri" w:eastAsia="Times New Roman" w:hAnsi="Calibri" w:cs="Calibri"/>
                <w:color w:val="000000" w:themeColor="text1"/>
                <w:sz w:val="20"/>
                <w:szCs w:val="20"/>
                <w:lang w:eastAsia="en-GB"/>
              </w:rPr>
              <w:t>100%</w:t>
            </w:r>
          </w:p>
        </w:tc>
      </w:tr>
      <w:tr w:rsidR="00C84DC3" w:rsidRPr="007515BB" w14:paraId="420E278E" w14:textId="77777777" w:rsidTr="00C84DC3">
        <w:trPr>
          <w:trHeight w:val="300"/>
        </w:trPr>
        <w:tc>
          <w:tcPr>
            <w:tcW w:w="1118" w:type="dxa"/>
            <w:shd w:val="clear" w:color="000000" w:fill="D9E1F2"/>
            <w:noWrap/>
            <w:vAlign w:val="center"/>
            <w:hideMark/>
          </w:tcPr>
          <w:p w14:paraId="41D7D167" w14:textId="77777777" w:rsidR="00C84DC3" w:rsidRPr="0071121F" w:rsidRDefault="00C84DC3" w:rsidP="00C84DC3">
            <w:pPr>
              <w:spacing w:after="0" w:line="240" w:lineRule="auto"/>
              <w:rPr>
                <w:rFonts w:ascii="Calibri" w:eastAsia="Times New Roman" w:hAnsi="Calibri" w:cs="Calibri"/>
                <w:b/>
                <w:bCs/>
                <w:color w:val="000000" w:themeColor="text1"/>
                <w:sz w:val="20"/>
                <w:szCs w:val="20"/>
                <w:lang w:eastAsia="en-GB"/>
              </w:rPr>
            </w:pPr>
            <w:r>
              <w:rPr>
                <w:rFonts w:ascii="Calibri" w:eastAsia="Times New Roman" w:hAnsi="Calibri" w:cs="Calibri"/>
                <w:b/>
                <w:bCs/>
                <w:color w:val="000000" w:themeColor="text1"/>
                <w:sz w:val="20"/>
                <w:szCs w:val="20"/>
                <w:lang w:eastAsia="en-GB"/>
              </w:rPr>
              <w:t>Female</w:t>
            </w:r>
          </w:p>
        </w:tc>
        <w:tc>
          <w:tcPr>
            <w:tcW w:w="960" w:type="dxa"/>
            <w:shd w:val="clear" w:color="000000" w:fill="FFFFFF"/>
            <w:vAlign w:val="center"/>
          </w:tcPr>
          <w:p w14:paraId="0F893E81" w14:textId="1F154D1F" w:rsidR="00C84DC3" w:rsidRPr="00C84DC3" w:rsidRDefault="00C84DC3" w:rsidP="00C84DC3">
            <w:pPr>
              <w:spacing w:after="0" w:line="240" w:lineRule="auto"/>
              <w:jc w:val="center"/>
              <w:rPr>
                <w:rFonts w:ascii="Calibri" w:eastAsia="Times New Roman" w:hAnsi="Calibri" w:cs="Calibri"/>
                <w:color w:val="000000" w:themeColor="text1"/>
                <w:sz w:val="20"/>
                <w:szCs w:val="20"/>
                <w:highlight w:val="yellow"/>
                <w:lang w:eastAsia="en-GB"/>
              </w:rPr>
            </w:pPr>
            <w:r w:rsidRPr="00C84DC3">
              <w:rPr>
                <w:sz w:val="20"/>
                <w:szCs w:val="20"/>
              </w:rPr>
              <w:t>26.85%</w:t>
            </w:r>
          </w:p>
        </w:tc>
        <w:tc>
          <w:tcPr>
            <w:tcW w:w="960" w:type="dxa"/>
            <w:shd w:val="clear" w:color="000000" w:fill="FFFFFF"/>
            <w:vAlign w:val="center"/>
          </w:tcPr>
          <w:p w14:paraId="1F2F856D" w14:textId="17D0B491" w:rsidR="00C84DC3" w:rsidRPr="00C84DC3" w:rsidRDefault="00C84DC3" w:rsidP="00C84DC3">
            <w:pPr>
              <w:spacing w:after="0" w:line="240" w:lineRule="auto"/>
              <w:jc w:val="center"/>
              <w:rPr>
                <w:rFonts w:ascii="Calibri" w:eastAsia="Times New Roman" w:hAnsi="Calibri" w:cs="Calibri"/>
                <w:color w:val="000000" w:themeColor="text1"/>
                <w:sz w:val="20"/>
                <w:szCs w:val="20"/>
                <w:highlight w:val="yellow"/>
                <w:lang w:eastAsia="en-GB"/>
              </w:rPr>
            </w:pPr>
            <w:r w:rsidRPr="00C84DC3">
              <w:rPr>
                <w:sz w:val="20"/>
                <w:szCs w:val="20"/>
              </w:rPr>
              <w:t>27.37%</w:t>
            </w:r>
          </w:p>
        </w:tc>
        <w:tc>
          <w:tcPr>
            <w:tcW w:w="960" w:type="dxa"/>
            <w:shd w:val="clear" w:color="000000" w:fill="FFFFFF"/>
            <w:vAlign w:val="center"/>
          </w:tcPr>
          <w:p w14:paraId="7D1E60AA" w14:textId="2A89A739" w:rsidR="00C84DC3" w:rsidRPr="00C84DC3" w:rsidRDefault="00C84DC3" w:rsidP="00C84DC3">
            <w:pPr>
              <w:spacing w:after="0" w:line="240" w:lineRule="auto"/>
              <w:jc w:val="center"/>
              <w:rPr>
                <w:rFonts w:ascii="Calibri" w:eastAsia="Times New Roman" w:hAnsi="Calibri" w:cs="Calibri"/>
                <w:color w:val="000000" w:themeColor="text1"/>
                <w:sz w:val="20"/>
                <w:szCs w:val="20"/>
                <w:highlight w:val="yellow"/>
                <w:lang w:eastAsia="en-GB"/>
              </w:rPr>
            </w:pPr>
            <w:r w:rsidRPr="00C84DC3">
              <w:rPr>
                <w:sz w:val="20"/>
                <w:szCs w:val="20"/>
              </w:rPr>
              <w:t>26.34%</w:t>
            </w:r>
          </w:p>
        </w:tc>
        <w:tc>
          <w:tcPr>
            <w:tcW w:w="960" w:type="dxa"/>
            <w:shd w:val="clear" w:color="000000" w:fill="FFFFFF"/>
            <w:vAlign w:val="center"/>
          </w:tcPr>
          <w:p w14:paraId="116F5132" w14:textId="3DB3E451" w:rsidR="00C84DC3" w:rsidRPr="00C84DC3" w:rsidRDefault="00C84DC3" w:rsidP="00C84DC3">
            <w:pPr>
              <w:spacing w:after="0" w:line="240" w:lineRule="auto"/>
              <w:jc w:val="center"/>
              <w:rPr>
                <w:rFonts w:ascii="Calibri" w:eastAsia="Times New Roman" w:hAnsi="Calibri" w:cs="Calibri"/>
                <w:color w:val="000000" w:themeColor="text1"/>
                <w:sz w:val="20"/>
                <w:szCs w:val="20"/>
                <w:highlight w:val="yellow"/>
                <w:lang w:eastAsia="en-GB"/>
              </w:rPr>
            </w:pPr>
            <w:r w:rsidRPr="00C84DC3">
              <w:rPr>
                <w:sz w:val="20"/>
                <w:szCs w:val="20"/>
              </w:rPr>
              <w:t>19.44%</w:t>
            </w:r>
          </w:p>
        </w:tc>
        <w:tc>
          <w:tcPr>
            <w:tcW w:w="1376" w:type="dxa"/>
            <w:noWrap/>
            <w:vAlign w:val="center"/>
          </w:tcPr>
          <w:p w14:paraId="768AB351" w14:textId="6D48FB39" w:rsidR="00C84DC3" w:rsidRPr="00C84DC3" w:rsidRDefault="00C84DC3" w:rsidP="00C84DC3">
            <w:pPr>
              <w:spacing w:after="0" w:line="240" w:lineRule="auto"/>
              <w:jc w:val="center"/>
              <w:rPr>
                <w:rFonts w:ascii="Calibri" w:eastAsia="Times New Roman" w:hAnsi="Calibri" w:cs="Calibri"/>
                <w:color w:val="000000" w:themeColor="text1"/>
                <w:sz w:val="20"/>
                <w:szCs w:val="20"/>
                <w:lang w:eastAsia="en-GB"/>
              </w:rPr>
            </w:pPr>
            <w:r w:rsidRPr="00C84DC3">
              <w:rPr>
                <w:rFonts w:ascii="Calibri" w:eastAsia="Times New Roman" w:hAnsi="Calibri" w:cs="Calibri"/>
                <w:color w:val="000000" w:themeColor="text1"/>
                <w:sz w:val="20"/>
                <w:szCs w:val="20"/>
                <w:lang w:eastAsia="en-GB"/>
              </w:rPr>
              <w:t>100%</w:t>
            </w:r>
          </w:p>
        </w:tc>
      </w:tr>
    </w:tbl>
    <w:p w14:paraId="3A04D963" w14:textId="77777777" w:rsidR="00976AA6" w:rsidRDefault="00976AA6" w:rsidP="00A971AE">
      <w:pPr>
        <w:rPr>
          <w:color w:val="FF0000"/>
        </w:rPr>
      </w:pPr>
    </w:p>
    <w:p w14:paraId="7570083B" w14:textId="77777777" w:rsidR="00B11BF1" w:rsidRDefault="00B11BF1" w:rsidP="00B11BF1">
      <w:pPr>
        <w:pStyle w:val="ListParagraph"/>
        <w:numPr>
          <w:ilvl w:val="0"/>
          <w:numId w:val="36"/>
        </w:numPr>
        <w:rPr>
          <w:b/>
          <w:bCs/>
          <w:color w:val="000000" w:themeColor="text1"/>
        </w:rPr>
      </w:pPr>
      <w:r>
        <w:rPr>
          <w:b/>
          <w:bCs/>
          <w:color w:val="000000" w:themeColor="text1"/>
        </w:rPr>
        <w:lastRenderedPageBreak/>
        <w:t xml:space="preserve">Actions to support rebalance of gender pay </w:t>
      </w:r>
    </w:p>
    <w:p w14:paraId="65F8B658" w14:textId="77777777" w:rsidR="00B11BF1" w:rsidRPr="00CF23A4" w:rsidRDefault="00B11BF1" w:rsidP="00B11BF1">
      <w:pPr>
        <w:jc w:val="both"/>
        <w:rPr>
          <w:rFonts w:cstheme="minorHAnsi"/>
        </w:rPr>
      </w:pPr>
      <w:r w:rsidRPr="00CF23A4">
        <w:rPr>
          <w:rFonts w:cstheme="minorHAnsi"/>
        </w:rPr>
        <w:t xml:space="preserve">Northumbria is committed to addressing the gender pay gap and action </w:t>
      </w:r>
      <w:r>
        <w:rPr>
          <w:rFonts w:cstheme="minorHAnsi"/>
        </w:rPr>
        <w:t xml:space="preserve">is underway </w:t>
      </w:r>
      <w:r w:rsidRPr="00CF23A4">
        <w:rPr>
          <w:rFonts w:cstheme="minorHAnsi"/>
        </w:rPr>
        <w:t>in the following areas:</w:t>
      </w:r>
    </w:p>
    <w:p w14:paraId="11783200" w14:textId="380FF055" w:rsidR="00B11BF1" w:rsidRPr="000D7A6E" w:rsidRDefault="00B11BF1" w:rsidP="00B11BF1">
      <w:pPr>
        <w:pStyle w:val="ListParagraph"/>
        <w:numPr>
          <w:ilvl w:val="0"/>
          <w:numId w:val="37"/>
        </w:numPr>
        <w:spacing w:after="0" w:line="240" w:lineRule="auto"/>
        <w:jc w:val="both"/>
        <w:rPr>
          <w:rFonts w:cstheme="minorHAnsi"/>
        </w:rPr>
      </w:pPr>
      <w:r>
        <w:rPr>
          <w:rFonts w:cstheme="minorHAnsi"/>
        </w:rPr>
        <w:t xml:space="preserve">The </w:t>
      </w:r>
      <w:r w:rsidRPr="000D7A6E">
        <w:rPr>
          <w:rFonts w:cstheme="minorHAnsi"/>
        </w:rPr>
        <w:t xml:space="preserve">Pay Gap </w:t>
      </w:r>
      <w:r>
        <w:rPr>
          <w:rFonts w:cstheme="minorHAnsi"/>
        </w:rPr>
        <w:t xml:space="preserve">Steering </w:t>
      </w:r>
      <w:r w:rsidRPr="000D7A6E">
        <w:rPr>
          <w:rFonts w:cstheme="minorHAnsi"/>
        </w:rPr>
        <w:t>Group</w:t>
      </w:r>
      <w:r>
        <w:rPr>
          <w:rFonts w:cstheme="minorHAnsi"/>
        </w:rPr>
        <w:t xml:space="preserve"> will continue to </w:t>
      </w:r>
      <w:r w:rsidRPr="000D7A6E">
        <w:rPr>
          <w:rFonts w:cstheme="minorHAnsi"/>
        </w:rPr>
        <w:t xml:space="preserve">oversee and </w:t>
      </w:r>
      <w:r>
        <w:rPr>
          <w:rFonts w:cstheme="minorHAnsi"/>
        </w:rPr>
        <w:t xml:space="preserve">monitor gender </w:t>
      </w:r>
      <w:r w:rsidRPr="000D7A6E">
        <w:rPr>
          <w:rFonts w:cstheme="minorHAnsi"/>
        </w:rPr>
        <w:t xml:space="preserve">pay </w:t>
      </w:r>
      <w:r>
        <w:rPr>
          <w:rFonts w:cstheme="minorHAnsi"/>
        </w:rPr>
        <w:t xml:space="preserve">data and ensure associated actions are progressed within </w:t>
      </w:r>
      <w:r w:rsidRPr="000D7A6E">
        <w:rPr>
          <w:rFonts w:cstheme="minorHAnsi"/>
        </w:rPr>
        <w:t>Northumbria’s everyday business</w:t>
      </w:r>
      <w:r>
        <w:rPr>
          <w:rFonts w:cstheme="minorHAnsi"/>
        </w:rPr>
        <w:t xml:space="preserve">, as well as ensuring </w:t>
      </w:r>
      <w:r w:rsidRPr="000D7A6E">
        <w:rPr>
          <w:rFonts w:cstheme="minorHAnsi"/>
        </w:rPr>
        <w:t>pay gap</w:t>
      </w:r>
      <w:r>
        <w:rPr>
          <w:rFonts w:cstheme="minorHAnsi"/>
        </w:rPr>
        <w:t>s based on Ethnicity</w:t>
      </w:r>
      <w:r w:rsidRPr="000D7A6E">
        <w:rPr>
          <w:rFonts w:cstheme="minorHAnsi"/>
        </w:rPr>
        <w:t>, Disability and Other Protected Characteristics</w:t>
      </w:r>
      <w:r>
        <w:rPr>
          <w:rFonts w:cstheme="minorHAnsi"/>
        </w:rPr>
        <w:t xml:space="preserve"> are understood and acted on</w:t>
      </w:r>
      <w:r w:rsidRPr="000D7A6E">
        <w:rPr>
          <w:rFonts w:cstheme="minorHAnsi"/>
        </w:rPr>
        <w:t xml:space="preserve">. </w:t>
      </w:r>
    </w:p>
    <w:p w14:paraId="4B22F048" w14:textId="085B9B42" w:rsidR="00B11BF1" w:rsidRDefault="00B11BF1" w:rsidP="00B11BF1">
      <w:pPr>
        <w:pStyle w:val="ListParagraph"/>
        <w:numPr>
          <w:ilvl w:val="0"/>
          <w:numId w:val="37"/>
        </w:numPr>
        <w:spacing w:after="0" w:line="240" w:lineRule="auto"/>
        <w:jc w:val="both"/>
        <w:rPr>
          <w:rFonts w:cstheme="minorHAnsi"/>
        </w:rPr>
      </w:pPr>
      <w:r>
        <w:rPr>
          <w:rFonts w:cstheme="minorHAnsi"/>
        </w:rPr>
        <w:t xml:space="preserve">The Resourcing and Retention Steering group will oversee </w:t>
      </w:r>
      <w:r w:rsidRPr="00363E4B">
        <w:rPr>
          <w:rFonts w:cstheme="minorHAnsi"/>
        </w:rPr>
        <w:t xml:space="preserve">recruitment </w:t>
      </w:r>
      <w:r>
        <w:rPr>
          <w:rFonts w:cstheme="minorHAnsi"/>
        </w:rPr>
        <w:t xml:space="preserve">activity to develop campaigns </w:t>
      </w:r>
      <w:r w:rsidRPr="00363E4B">
        <w:rPr>
          <w:rFonts w:cstheme="minorHAnsi"/>
        </w:rPr>
        <w:t xml:space="preserve">from apprenticeships upwards </w:t>
      </w:r>
      <w:r>
        <w:rPr>
          <w:rFonts w:cstheme="minorHAnsi"/>
        </w:rPr>
        <w:t xml:space="preserve">to </w:t>
      </w:r>
      <w:r w:rsidRPr="00363E4B">
        <w:rPr>
          <w:rFonts w:cstheme="minorHAnsi"/>
        </w:rPr>
        <w:t>encourag</w:t>
      </w:r>
      <w:r>
        <w:rPr>
          <w:rFonts w:cstheme="minorHAnsi"/>
        </w:rPr>
        <w:t xml:space="preserve">e </w:t>
      </w:r>
      <w:r w:rsidRPr="00363E4B">
        <w:rPr>
          <w:rFonts w:cstheme="minorHAnsi"/>
        </w:rPr>
        <w:t>a balance of both male and female applicants</w:t>
      </w:r>
      <w:r>
        <w:rPr>
          <w:rFonts w:cstheme="minorHAnsi"/>
        </w:rPr>
        <w:t xml:space="preserve">, specifically within NPC this would </w:t>
      </w:r>
      <w:proofErr w:type="gramStart"/>
      <w:r>
        <w:rPr>
          <w:rFonts w:cstheme="minorHAnsi"/>
        </w:rPr>
        <w:t>include;</w:t>
      </w:r>
      <w:proofErr w:type="gramEnd"/>
      <w:r>
        <w:rPr>
          <w:rFonts w:cstheme="minorHAnsi"/>
        </w:rPr>
        <w:t xml:space="preserve"> </w:t>
      </w:r>
      <w:r w:rsidRPr="00363E4B">
        <w:rPr>
          <w:rFonts w:cstheme="minorHAnsi"/>
        </w:rPr>
        <w:t xml:space="preserve"> </w:t>
      </w:r>
    </w:p>
    <w:p w14:paraId="1668E289" w14:textId="555A723C" w:rsidR="00B11BF1" w:rsidRDefault="00B11BF1" w:rsidP="00B11BF1">
      <w:pPr>
        <w:pStyle w:val="ListParagraph"/>
        <w:numPr>
          <w:ilvl w:val="1"/>
          <w:numId w:val="37"/>
        </w:numPr>
        <w:spacing w:after="0" w:line="240" w:lineRule="auto"/>
        <w:jc w:val="both"/>
        <w:rPr>
          <w:rFonts w:cstheme="minorHAnsi"/>
        </w:rPr>
      </w:pPr>
      <w:r>
        <w:rPr>
          <w:rFonts w:cstheme="minorHAnsi"/>
        </w:rPr>
        <w:t>Promoting and raising awareness of successful male appointments within admin and clerical positions (Quartile 1)</w:t>
      </w:r>
    </w:p>
    <w:p w14:paraId="50C75638" w14:textId="2A91EE79" w:rsidR="00B11BF1" w:rsidRDefault="00B11BF1" w:rsidP="00B11BF1">
      <w:pPr>
        <w:pStyle w:val="ListParagraph"/>
        <w:numPr>
          <w:ilvl w:val="1"/>
          <w:numId w:val="37"/>
        </w:numPr>
        <w:spacing w:after="0" w:line="240" w:lineRule="auto"/>
        <w:jc w:val="both"/>
        <w:rPr>
          <w:rFonts w:cstheme="minorHAnsi"/>
        </w:rPr>
      </w:pPr>
      <w:r>
        <w:rPr>
          <w:rFonts w:cstheme="minorHAnsi"/>
        </w:rPr>
        <w:t>Promoting and raising awareness of successful female appointments within senior roles (Quartile 4)</w:t>
      </w:r>
    </w:p>
    <w:p w14:paraId="0A4381E2" w14:textId="77777777" w:rsidR="00B11BF1" w:rsidRPr="007D1DBD" w:rsidRDefault="00B11BF1" w:rsidP="00B11BF1">
      <w:pPr>
        <w:pStyle w:val="ListParagraph"/>
        <w:numPr>
          <w:ilvl w:val="0"/>
          <w:numId w:val="37"/>
        </w:numPr>
        <w:spacing w:after="0" w:line="240" w:lineRule="auto"/>
        <w:jc w:val="both"/>
        <w:rPr>
          <w:rFonts w:cstheme="minorHAnsi"/>
        </w:rPr>
      </w:pPr>
      <w:r w:rsidRPr="007D1DBD">
        <w:rPr>
          <w:rFonts w:cstheme="minorHAnsi"/>
        </w:rPr>
        <w:t>Review and develop talent management</w:t>
      </w:r>
      <w:r>
        <w:rPr>
          <w:rFonts w:cstheme="minorHAnsi"/>
        </w:rPr>
        <w:t xml:space="preserve"> and succession </w:t>
      </w:r>
      <w:r w:rsidRPr="007D1DBD">
        <w:rPr>
          <w:rFonts w:cstheme="minorHAnsi"/>
        </w:rPr>
        <w:t>pathways to further encourage equality of opportunity across the entire workforce.</w:t>
      </w:r>
    </w:p>
    <w:p w14:paraId="5ADA5EEA" w14:textId="77777777" w:rsidR="00B11BF1" w:rsidRDefault="00B11BF1" w:rsidP="00B11BF1">
      <w:pPr>
        <w:pStyle w:val="ListParagraph"/>
        <w:numPr>
          <w:ilvl w:val="0"/>
          <w:numId w:val="37"/>
        </w:numPr>
        <w:spacing w:after="0" w:line="240" w:lineRule="auto"/>
        <w:jc w:val="both"/>
        <w:rPr>
          <w:rFonts w:cstheme="minorHAnsi"/>
        </w:rPr>
      </w:pPr>
      <w:r>
        <w:rPr>
          <w:rFonts w:cstheme="minorHAnsi"/>
        </w:rPr>
        <w:t xml:space="preserve">Since the introduction of digitalised flexible working applications, monitor take up to ensure </w:t>
      </w:r>
      <w:r w:rsidRPr="00E046B7">
        <w:rPr>
          <w:rFonts w:cstheme="minorHAnsi"/>
        </w:rPr>
        <w:t xml:space="preserve">workplace flexibility offer </w:t>
      </w:r>
      <w:r>
        <w:rPr>
          <w:rFonts w:cstheme="minorHAnsi"/>
        </w:rPr>
        <w:t xml:space="preserve">is </w:t>
      </w:r>
      <w:r w:rsidRPr="00E046B7">
        <w:rPr>
          <w:rFonts w:cstheme="minorHAnsi"/>
        </w:rPr>
        <w:t xml:space="preserve">available to men, </w:t>
      </w:r>
      <w:r>
        <w:rPr>
          <w:rFonts w:cstheme="minorHAnsi"/>
        </w:rPr>
        <w:t xml:space="preserve">also </w:t>
      </w:r>
      <w:r w:rsidRPr="00E046B7">
        <w:rPr>
          <w:rFonts w:cstheme="minorHAnsi"/>
        </w:rPr>
        <w:t>encourag</w:t>
      </w:r>
      <w:r>
        <w:rPr>
          <w:rFonts w:cstheme="minorHAnsi"/>
        </w:rPr>
        <w:t xml:space="preserve">ing the </w:t>
      </w:r>
      <w:r w:rsidRPr="00E046B7">
        <w:rPr>
          <w:rFonts w:cstheme="minorHAnsi"/>
        </w:rPr>
        <w:t xml:space="preserve">uptake of Shared Parental Leave. </w:t>
      </w:r>
    </w:p>
    <w:p w14:paraId="06783078" w14:textId="77777777" w:rsidR="00B11BF1" w:rsidRPr="009F4CEC" w:rsidRDefault="00B11BF1" w:rsidP="00B11BF1">
      <w:pPr>
        <w:pStyle w:val="ListParagraph"/>
        <w:spacing w:after="0" w:line="240" w:lineRule="auto"/>
        <w:ind w:left="360"/>
        <w:jc w:val="both"/>
        <w:rPr>
          <w:rFonts w:cstheme="minorHAnsi"/>
        </w:rPr>
      </w:pPr>
    </w:p>
    <w:p w14:paraId="42564D68" w14:textId="77777777" w:rsidR="00B11BF1" w:rsidRPr="0007703D" w:rsidRDefault="00B11BF1" w:rsidP="00B11BF1">
      <w:pPr>
        <w:pStyle w:val="ListParagraph"/>
        <w:numPr>
          <w:ilvl w:val="0"/>
          <w:numId w:val="36"/>
        </w:numPr>
        <w:rPr>
          <w:b/>
          <w:bCs/>
          <w:color w:val="000000" w:themeColor="text1"/>
        </w:rPr>
      </w:pPr>
      <w:r w:rsidRPr="0007703D">
        <w:rPr>
          <w:b/>
          <w:bCs/>
          <w:color w:val="000000" w:themeColor="text1"/>
        </w:rPr>
        <w:t xml:space="preserve">Next steps </w:t>
      </w:r>
    </w:p>
    <w:p w14:paraId="03E46494" w14:textId="77777777" w:rsidR="00B11BF1" w:rsidRPr="00BD6EB4" w:rsidRDefault="00B11BF1" w:rsidP="00B11BF1">
      <w:pPr>
        <w:jc w:val="both"/>
        <w:rPr>
          <w:rFonts w:cstheme="minorHAnsi"/>
        </w:rPr>
      </w:pPr>
      <w:r w:rsidRPr="00BD6EB4">
        <w:rPr>
          <w:rFonts w:cstheme="minorHAnsi"/>
        </w:rPr>
        <w:t xml:space="preserve">There isn’t a statutory requirement to publish data relating to Pay Gap based on Ethnicity, Disability and Sexual Orientation, initial data has been produced and provided.  The data will be further analysed by the Pay Gap Steering Group to determine if there are additional actions over the coming year recommended for wider consultation with stakeholders for agreement and inclusion in overarching Pay Gap action plan.  </w:t>
      </w:r>
    </w:p>
    <w:p w14:paraId="6BF3346A" w14:textId="638EAE19" w:rsidR="00B11BF1" w:rsidRPr="00BD6EB4" w:rsidRDefault="00B11BF1" w:rsidP="00B11BF1">
      <w:pPr>
        <w:jc w:val="both"/>
        <w:rPr>
          <w:rFonts w:cstheme="minorHAnsi"/>
        </w:rPr>
      </w:pPr>
      <w:r w:rsidRPr="00BD6EB4">
        <w:rPr>
          <w:rFonts w:cstheme="minorHAnsi"/>
        </w:rPr>
        <w:t>The GPG inten</w:t>
      </w:r>
      <w:r>
        <w:rPr>
          <w:rFonts w:cstheme="minorHAnsi"/>
        </w:rPr>
        <w:t xml:space="preserve">ds </w:t>
      </w:r>
      <w:r w:rsidRPr="00BD6EB4">
        <w:rPr>
          <w:rFonts w:cstheme="minorHAnsi"/>
        </w:rPr>
        <w:t xml:space="preserve">for employers to have to create and submit an action plan alongside gender pay gap data by 2028.   The Pay Gap Steering Group are developing Pay Gap reports to consider whether </w:t>
      </w:r>
      <w:r>
        <w:rPr>
          <w:rFonts w:cstheme="minorHAnsi"/>
        </w:rPr>
        <w:t xml:space="preserve">we choose to </w:t>
      </w:r>
      <w:r w:rsidRPr="00BD6EB4">
        <w:rPr>
          <w:rFonts w:cstheme="minorHAnsi"/>
        </w:rPr>
        <w:t>use</w:t>
      </w:r>
      <w:r>
        <w:rPr>
          <w:rFonts w:cstheme="minorHAnsi"/>
        </w:rPr>
        <w:t xml:space="preserve"> this service </w:t>
      </w:r>
      <w:r w:rsidRPr="00BD6EB4">
        <w:rPr>
          <w:rFonts w:cstheme="minorHAnsi"/>
        </w:rPr>
        <w:t xml:space="preserve">in April 2027 on a voluntary basis.   </w:t>
      </w:r>
    </w:p>
    <w:p w14:paraId="6C2EBE9E" w14:textId="371E8806" w:rsidR="00B11BF1" w:rsidRPr="00BD6EB4" w:rsidRDefault="00B11BF1" w:rsidP="00B11BF1">
      <w:pPr>
        <w:jc w:val="both"/>
        <w:rPr>
          <w:rFonts w:cstheme="minorHAnsi"/>
        </w:rPr>
      </w:pPr>
      <w:r w:rsidRPr="00B11BF1">
        <w:rPr>
          <w:rFonts w:cstheme="minorHAnsi"/>
        </w:rPr>
        <w:t xml:space="preserve">As such, a progress report and action plan will be prepared in September 2026, providing indicative pay gap figures for April 2026, for the Board to consider submission arrangements on </w:t>
      </w:r>
      <w:r w:rsidR="00F803EA">
        <w:rPr>
          <w:rFonts w:cstheme="minorHAnsi"/>
        </w:rPr>
        <w:t>4</w:t>
      </w:r>
      <w:r w:rsidRPr="00B11BF1">
        <w:rPr>
          <w:rFonts w:cstheme="minorHAnsi"/>
        </w:rPr>
        <w:t>th April 2027.</w:t>
      </w:r>
      <w:r>
        <w:rPr>
          <w:rFonts w:ascii="Arial" w:eastAsiaTheme="minorEastAsia" w:hAnsi="Arial" w:cs="Arial"/>
          <w:bCs/>
          <w:kern w:val="24"/>
        </w:rPr>
        <w:t xml:space="preserve">  </w:t>
      </w:r>
    </w:p>
    <w:p w14:paraId="585393D4" w14:textId="77777777" w:rsidR="00B11BF1" w:rsidRPr="00BD6EB4" w:rsidRDefault="00B11BF1" w:rsidP="00B11BF1">
      <w:pPr>
        <w:jc w:val="both"/>
        <w:rPr>
          <w:rFonts w:cstheme="minorHAnsi"/>
        </w:rPr>
      </w:pPr>
      <w:r w:rsidRPr="00BD6EB4">
        <w:rPr>
          <w:rFonts w:cstheme="minorHAnsi"/>
        </w:rPr>
        <w:t xml:space="preserve"> </w:t>
      </w:r>
    </w:p>
    <w:p w14:paraId="731E88B9" w14:textId="77777777" w:rsidR="00B11BF1" w:rsidRPr="0095441D" w:rsidRDefault="00B11BF1" w:rsidP="00A971AE">
      <w:pPr>
        <w:rPr>
          <w:color w:val="FF0000"/>
        </w:rPr>
      </w:pPr>
    </w:p>
    <w:sectPr w:rsidR="00B11BF1" w:rsidRPr="0095441D" w:rsidSect="00435605">
      <w:headerReference w:type="default" r:id="rId8"/>
      <w:footerReference w:type="default" r:id="rId9"/>
      <w:pgSz w:w="11906" w:h="16838" w:code="9"/>
      <w:pgMar w:top="1304" w:right="1440" w:bottom="130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CFAD" w14:textId="77777777" w:rsidR="00D01DC9" w:rsidRDefault="00D01DC9" w:rsidP="003F10D9">
      <w:pPr>
        <w:spacing w:after="0" w:line="240" w:lineRule="auto"/>
      </w:pPr>
      <w:r>
        <w:separator/>
      </w:r>
    </w:p>
  </w:endnote>
  <w:endnote w:type="continuationSeparator" w:id="0">
    <w:p w14:paraId="5945A9D3" w14:textId="77777777" w:rsidR="00D01DC9" w:rsidRDefault="00D01DC9" w:rsidP="003F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6D6D" w14:textId="77777777" w:rsidR="00F228D1" w:rsidRPr="00F228D1" w:rsidRDefault="00F228D1">
    <w:pPr>
      <w:pStyle w:val="Footer"/>
      <w:jc w:val="center"/>
      <w:rPr>
        <w:caps/>
        <w:noProof/>
      </w:rPr>
    </w:pPr>
    <w:r w:rsidRPr="00F228D1">
      <w:rPr>
        <w:caps/>
      </w:rPr>
      <w:fldChar w:fldCharType="begin"/>
    </w:r>
    <w:r w:rsidRPr="00F228D1">
      <w:rPr>
        <w:caps/>
      </w:rPr>
      <w:instrText xml:space="preserve"> PAGE   \* MERGEFORMAT </w:instrText>
    </w:r>
    <w:r w:rsidRPr="00F228D1">
      <w:rPr>
        <w:caps/>
      </w:rPr>
      <w:fldChar w:fldCharType="separate"/>
    </w:r>
    <w:r w:rsidRPr="00F228D1">
      <w:rPr>
        <w:caps/>
        <w:noProof/>
      </w:rPr>
      <w:t>2</w:t>
    </w:r>
    <w:r w:rsidRPr="00F228D1">
      <w:rPr>
        <w:caps/>
        <w:noProof/>
      </w:rPr>
      <w:fldChar w:fldCharType="end"/>
    </w:r>
  </w:p>
  <w:p w14:paraId="7346D04D" w14:textId="77777777" w:rsidR="00F228D1" w:rsidRDefault="00F2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8837" w14:textId="77777777" w:rsidR="00D01DC9" w:rsidRDefault="00D01DC9" w:rsidP="003F10D9">
      <w:pPr>
        <w:spacing w:after="0" w:line="240" w:lineRule="auto"/>
      </w:pPr>
      <w:r>
        <w:separator/>
      </w:r>
    </w:p>
  </w:footnote>
  <w:footnote w:type="continuationSeparator" w:id="0">
    <w:p w14:paraId="5EC6EC8E" w14:textId="77777777" w:rsidR="00D01DC9" w:rsidRDefault="00D01DC9" w:rsidP="003F1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7175" w14:textId="10476BFC" w:rsidR="003557CB" w:rsidRDefault="003557CB" w:rsidP="003557CB">
    <w:pPr>
      <w:pStyle w:val="Header"/>
      <w:jc w:val="right"/>
    </w:pPr>
    <w:r>
      <w:fldChar w:fldCharType="begin"/>
    </w:r>
    <w:r>
      <w:instrText xml:space="preserve"> INCLUDEPICTURE  "cid:image001.jpg@01D86943.59937170" \* MERGEFORMATINET </w:instrText>
    </w:r>
    <w:r>
      <w:fldChar w:fldCharType="separate"/>
    </w:r>
    <w:r>
      <w:fldChar w:fldCharType="begin"/>
    </w:r>
    <w:r>
      <w:instrText xml:space="preserve"> INCLUDEPICTURE  "cid:image001.jpg@01D86943.59937170" \* MERGEFORMATINET </w:instrText>
    </w:r>
    <w:r>
      <w:fldChar w:fldCharType="separate"/>
    </w:r>
    <w:r>
      <w:fldChar w:fldCharType="begin"/>
    </w:r>
    <w:r>
      <w:instrText xml:space="preserve"> INCLUDEPICTURE  "cid:image001.jpg@01D86943.59937170" \* MERGEFORMATINET </w:instrText>
    </w:r>
    <w:r>
      <w:fldChar w:fldCharType="separate"/>
    </w:r>
    <w:r w:rsidR="00772C0E">
      <w:fldChar w:fldCharType="begin"/>
    </w:r>
    <w:r w:rsidR="00772C0E">
      <w:instrText xml:space="preserve"> INCLUDEPICTURE  "cid:image001.jpg@01D86943.59937170" \* MERGEFORMATINET </w:instrText>
    </w:r>
    <w:r w:rsidR="00772C0E">
      <w:fldChar w:fldCharType="separate"/>
    </w:r>
    <w:r w:rsidR="00D01DC9">
      <w:fldChar w:fldCharType="begin"/>
    </w:r>
    <w:r w:rsidR="00D01DC9">
      <w:instrText xml:space="preserve"> </w:instrText>
    </w:r>
    <w:r w:rsidR="00D01DC9">
      <w:instrText>INCLUDEPICTURE  "cid:image001.jpg@01D86943.59937170" \* MERGEFORMATINET</w:instrText>
    </w:r>
    <w:r w:rsidR="00D01DC9">
      <w:instrText xml:space="preserve"> </w:instrText>
    </w:r>
    <w:r w:rsidR="00D01DC9">
      <w:fldChar w:fldCharType="separate"/>
    </w:r>
    <w:r w:rsidR="00D01DC9">
      <w:pict w14:anchorId="50D82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01.9pt;height:76.7pt">
          <v:imagedata r:id="rId1" r:href="rId2"/>
        </v:shape>
      </w:pict>
    </w:r>
    <w:r w:rsidR="00D01DC9">
      <w:fldChar w:fldCharType="end"/>
    </w:r>
    <w:r w:rsidR="00772C0E">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E04195"/>
    <w:multiLevelType w:val="hybridMultilevel"/>
    <w:tmpl w:val="668D60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3C74FB"/>
    <w:multiLevelType w:val="hybridMultilevel"/>
    <w:tmpl w:val="1B8106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D0CEB1"/>
    <w:multiLevelType w:val="hybridMultilevel"/>
    <w:tmpl w:val="2A65E0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92AA0"/>
    <w:multiLevelType w:val="hybridMultilevel"/>
    <w:tmpl w:val="D96E1344"/>
    <w:lvl w:ilvl="0" w:tplc="9DF8AC76">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72191"/>
    <w:multiLevelType w:val="hybridMultilevel"/>
    <w:tmpl w:val="D1F66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FE04F5"/>
    <w:multiLevelType w:val="multilevel"/>
    <w:tmpl w:val="BA7CD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63D75"/>
    <w:multiLevelType w:val="hybridMultilevel"/>
    <w:tmpl w:val="CB84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55EEA"/>
    <w:multiLevelType w:val="hybridMultilevel"/>
    <w:tmpl w:val="FD90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900F4"/>
    <w:multiLevelType w:val="multilevel"/>
    <w:tmpl w:val="ED6A8D4A"/>
    <w:lvl w:ilvl="0">
      <w:start w:val="3"/>
      <w:numFmt w:val="decimal"/>
      <w:lvlText w:val="%1"/>
      <w:lvlJc w:val="left"/>
      <w:pPr>
        <w:ind w:left="360" w:hanging="360"/>
      </w:pPr>
      <w:rPr>
        <w:rFonts w:hint="default"/>
        <w:sz w:val="24"/>
      </w:rPr>
    </w:lvl>
    <w:lvl w:ilv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0F1729D4"/>
    <w:multiLevelType w:val="hybridMultilevel"/>
    <w:tmpl w:val="D1FA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D6543"/>
    <w:multiLevelType w:val="hybridMultilevel"/>
    <w:tmpl w:val="68EE07AC"/>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E13313"/>
    <w:multiLevelType w:val="hybridMultilevel"/>
    <w:tmpl w:val="56F217BE"/>
    <w:lvl w:ilvl="0" w:tplc="9DF8AC7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84580"/>
    <w:multiLevelType w:val="hybridMultilevel"/>
    <w:tmpl w:val="5C9EA4B4"/>
    <w:lvl w:ilvl="0" w:tplc="9DF8AC76">
      <w:start w:val="1"/>
      <w:numFmt w:val="bullet"/>
      <w:lvlText w:val="-"/>
      <w:lvlJc w:val="left"/>
      <w:pPr>
        <w:ind w:left="720" w:hanging="360"/>
      </w:pPr>
      <w:rPr>
        <w:rFonts w:ascii="Courier New" w:hAnsi="Courier New"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82770"/>
    <w:multiLevelType w:val="hybridMultilevel"/>
    <w:tmpl w:val="61649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30E20"/>
    <w:multiLevelType w:val="hybridMultilevel"/>
    <w:tmpl w:val="13DE9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B4EFC"/>
    <w:multiLevelType w:val="hybridMultilevel"/>
    <w:tmpl w:val="58C4C69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4A17AB7"/>
    <w:multiLevelType w:val="hybridMultilevel"/>
    <w:tmpl w:val="433EEF72"/>
    <w:lvl w:ilvl="0" w:tplc="8E2E0E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036F5E"/>
    <w:multiLevelType w:val="hybridMultilevel"/>
    <w:tmpl w:val="57EEB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396331"/>
    <w:multiLevelType w:val="multilevel"/>
    <w:tmpl w:val="52420D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6B15CF"/>
    <w:multiLevelType w:val="multilevel"/>
    <w:tmpl w:val="899A5E08"/>
    <w:styleLink w:val="CurrentList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19C3806"/>
    <w:multiLevelType w:val="hybridMultilevel"/>
    <w:tmpl w:val="2038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9621E"/>
    <w:multiLevelType w:val="hybridMultilevel"/>
    <w:tmpl w:val="E902A8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21016"/>
    <w:multiLevelType w:val="hybridMultilevel"/>
    <w:tmpl w:val="0366C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44F58"/>
    <w:multiLevelType w:val="hybridMultilevel"/>
    <w:tmpl w:val="3B883C92"/>
    <w:lvl w:ilvl="0" w:tplc="9DF8AC7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A03F6"/>
    <w:multiLevelType w:val="hybridMultilevel"/>
    <w:tmpl w:val="38825C24"/>
    <w:lvl w:ilvl="0" w:tplc="9DF8AC7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9684249"/>
    <w:multiLevelType w:val="hybridMultilevel"/>
    <w:tmpl w:val="50346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34EF9"/>
    <w:multiLevelType w:val="hybridMultilevel"/>
    <w:tmpl w:val="C712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7203B"/>
    <w:multiLevelType w:val="multilevel"/>
    <w:tmpl w:val="9502F61E"/>
    <w:lvl w:ilvl="0">
      <w:start w:val="1"/>
      <w:numFmt w:val="bullet"/>
      <w:lvlText w:val="-"/>
      <w:lvlJc w:val="left"/>
      <w:pPr>
        <w:tabs>
          <w:tab w:val="num" w:pos="1080"/>
        </w:tabs>
        <w:ind w:left="1080" w:hanging="360"/>
      </w:pPr>
      <w:rPr>
        <w:rFonts w:ascii="Courier New" w:hAnsi="Courier New"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2454D60"/>
    <w:multiLevelType w:val="multilevel"/>
    <w:tmpl w:val="64E0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058D1"/>
    <w:multiLevelType w:val="hybridMultilevel"/>
    <w:tmpl w:val="E042F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5043CB"/>
    <w:multiLevelType w:val="multilevel"/>
    <w:tmpl w:val="F372E6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EFD69F"/>
    <w:multiLevelType w:val="hybridMultilevel"/>
    <w:tmpl w:val="AC439E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88B2E34"/>
    <w:multiLevelType w:val="multilevel"/>
    <w:tmpl w:val="899A5E0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ABA0981"/>
    <w:multiLevelType w:val="hybridMultilevel"/>
    <w:tmpl w:val="2114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D0FAD"/>
    <w:multiLevelType w:val="multilevel"/>
    <w:tmpl w:val="1DC0B2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4C555D"/>
    <w:multiLevelType w:val="hybridMultilevel"/>
    <w:tmpl w:val="0C46524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7D2B3AD1"/>
    <w:multiLevelType w:val="hybridMultilevel"/>
    <w:tmpl w:val="F69454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3820956">
    <w:abstractNumId w:val="1"/>
  </w:num>
  <w:num w:numId="2" w16cid:durableId="579750287">
    <w:abstractNumId w:val="2"/>
  </w:num>
  <w:num w:numId="3" w16cid:durableId="1312716763">
    <w:abstractNumId w:val="6"/>
  </w:num>
  <w:num w:numId="4" w16cid:durableId="644354680">
    <w:abstractNumId w:val="9"/>
  </w:num>
  <w:num w:numId="5" w16cid:durableId="1982809651">
    <w:abstractNumId w:val="31"/>
  </w:num>
  <w:num w:numId="6" w16cid:durableId="1486631710">
    <w:abstractNumId w:val="0"/>
  </w:num>
  <w:num w:numId="7" w16cid:durableId="1273436482">
    <w:abstractNumId w:val="14"/>
  </w:num>
  <w:num w:numId="8" w16cid:durableId="709689936">
    <w:abstractNumId w:val="18"/>
  </w:num>
  <w:num w:numId="9" w16cid:durableId="414284566">
    <w:abstractNumId w:val="35"/>
  </w:num>
  <w:num w:numId="10" w16cid:durableId="2112118828">
    <w:abstractNumId w:val="29"/>
  </w:num>
  <w:num w:numId="11" w16cid:durableId="1736586628">
    <w:abstractNumId w:val="22"/>
  </w:num>
  <w:num w:numId="12" w16cid:durableId="209850758">
    <w:abstractNumId w:val="36"/>
  </w:num>
  <w:num w:numId="13" w16cid:durableId="1320961951">
    <w:abstractNumId w:val="30"/>
  </w:num>
  <w:num w:numId="14" w16cid:durableId="792601959">
    <w:abstractNumId w:val="34"/>
  </w:num>
  <w:num w:numId="15" w16cid:durableId="664868488">
    <w:abstractNumId w:val="7"/>
  </w:num>
  <w:num w:numId="16" w16cid:durableId="1576427691">
    <w:abstractNumId w:val="28"/>
  </w:num>
  <w:num w:numId="17" w16cid:durableId="1625577961">
    <w:abstractNumId w:val="11"/>
  </w:num>
  <w:num w:numId="18" w16cid:durableId="289013984">
    <w:abstractNumId w:val="23"/>
  </w:num>
  <w:num w:numId="19" w16cid:durableId="1667244619">
    <w:abstractNumId w:val="16"/>
  </w:num>
  <w:num w:numId="20" w16cid:durableId="55323887">
    <w:abstractNumId w:val="32"/>
  </w:num>
  <w:num w:numId="21" w16cid:durableId="1251549914">
    <w:abstractNumId w:val="19"/>
  </w:num>
  <w:num w:numId="22" w16cid:durableId="1550067102">
    <w:abstractNumId w:val="25"/>
  </w:num>
  <w:num w:numId="23" w16cid:durableId="699168862">
    <w:abstractNumId w:val="8"/>
  </w:num>
  <w:num w:numId="24" w16cid:durableId="355348120">
    <w:abstractNumId w:val="21"/>
  </w:num>
  <w:num w:numId="25" w16cid:durableId="529873850">
    <w:abstractNumId w:val="4"/>
  </w:num>
  <w:num w:numId="26" w16cid:durableId="1850026583">
    <w:abstractNumId w:val="5"/>
  </w:num>
  <w:num w:numId="27" w16cid:durableId="1294678103">
    <w:abstractNumId w:val="13"/>
  </w:num>
  <w:num w:numId="28" w16cid:durableId="1064567253">
    <w:abstractNumId w:val="3"/>
  </w:num>
  <w:num w:numId="29" w16cid:durableId="1115950858">
    <w:abstractNumId w:val="12"/>
  </w:num>
  <w:num w:numId="30" w16cid:durableId="1450777356">
    <w:abstractNumId w:val="24"/>
  </w:num>
  <w:num w:numId="31" w16cid:durableId="1459838596">
    <w:abstractNumId w:val="20"/>
  </w:num>
  <w:num w:numId="32" w16cid:durableId="304971021">
    <w:abstractNumId w:val="17"/>
  </w:num>
  <w:num w:numId="33" w16cid:durableId="2006006990">
    <w:abstractNumId w:val="26"/>
  </w:num>
  <w:num w:numId="34" w16cid:durableId="1073744364">
    <w:abstractNumId w:val="27"/>
  </w:num>
  <w:num w:numId="35" w16cid:durableId="1456486763">
    <w:abstractNumId w:val="33"/>
  </w:num>
  <w:num w:numId="36" w16cid:durableId="1681345411">
    <w:abstractNumId w:val="10"/>
  </w:num>
  <w:num w:numId="37" w16cid:durableId="1698891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F"/>
    <w:rsid w:val="000008A6"/>
    <w:rsid w:val="00001049"/>
    <w:rsid w:val="00012D91"/>
    <w:rsid w:val="00015325"/>
    <w:rsid w:val="0002002F"/>
    <w:rsid w:val="00021DAB"/>
    <w:rsid w:val="00030E9A"/>
    <w:rsid w:val="00032023"/>
    <w:rsid w:val="000400F0"/>
    <w:rsid w:val="00046913"/>
    <w:rsid w:val="00047030"/>
    <w:rsid w:val="0005424C"/>
    <w:rsid w:val="00057C3E"/>
    <w:rsid w:val="0006085F"/>
    <w:rsid w:val="0006195C"/>
    <w:rsid w:val="00065423"/>
    <w:rsid w:val="00065C24"/>
    <w:rsid w:val="000673A0"/>
    <w:rsid w:val="0006741F"/>
    <w:rsid w:val="0008020C"/>
    <w:rsid w:val="000831DA"/>
    <w:rsid w:val="0008496D"/>
    <w:rsid w:val="00094C62"/>
    <w:rsid w:val="000963C0"/>
    <w:rsid w:val="0009741E"/>
    <w:rsid w:val="000A1756"/>
    <w:rsid w:val="000A1B30"/>
    <w:rsid w:val="000A531A"/>
    <w:rsid w:val="000B15B0"/>
    <w:rsid w:val="000B454E"/>
    <w:rsid w:val="000B6D6B"/>
    <w:rsid w:val="000B6E69"/>
    <w:rsid w:val="000C20D0"/>
    <w:rsid w:val="000C3462"/>
    <w:rsid w:val="000C6644"/>
    <w:rsid w:val="000D04AF"/>
    <w:rsid w:val="000D17D8"/>
    <w:rsid w:val="000D24EB"/>
    <w:rsid w:val="000D5F48"/>
    <w:rsid w:val="000E44B6"/>
    <w:rsid w:val="000E7F8C"/>
    <w:rsid w:val="000F4ECB"/>
    <w:rsid w:val="000F5094"/>
    <w:rsid w:val="000F561D"/>
    <w:rsid w:val="000F75B2"/>
    <w:rsid w:val="00105EEF"/>
    <w:rsid w:val="001076D5"/>
    <w:rsid w:val="001104BD"/>
    <w:rsid w:val="00110533"/>
    <w:rsid w:val="00111D3C"/>
    <w:rsid w:val="001132D9"/>
    <w:rsid w:val="001150E4"/>
    <w:rsid w:val="00122D0D"/>
    <w:rsid w:val="00123AD5"/>
    <w:rsid w:val="00124F1A"/>
    <w:rsid w:val="00125129"/>
    <w:rsid w:val="00125529"/>
    <w:rsid w:val="00125AD6"/>
    <w:rsid w:val="00126DFD"/>
    <w:rsid w:val="001312F2"/>
    <w:rsid w:val="001315D0"/>
    <w:rsid w:val="00137FE5"/>
    <w:rsid w:val="001401BF"/>
    <w:rsid w:val="00142069"/>
    <w:rsid w:val="00142393"/>
    <w:rsid w:val="00145548"/>
    <w:rsid w:val="00146BC8"/>
    <w:rsid w:val="00154DBE"/>
    <w:rsid w:val="00162D8C"/>
    <w:rsid w:val="00165537"/>
    <w:rsid w:val="00165F44"/>
    <w:rsid w:val="001660A0"/>
    <w:rsid w:val="0017177E"/>
    <w:rsid w:val="00171FAC"/>
    <w:rsid w:val="001759D1"/>
    <w:rsid w:val="001765D2"/>
    <w:rsid w:val="001835C4"/>
    <w:rsid w:val="00191F0C"/>
    <w:rsid w:val="001927C6"/>
    <w:rsid w:val="00196BE8"/>
    <w:rsid w:val="001A1A51"/>
    <w:rsid w:val="001A51AA"/>
    <w:rsid w:val="001B1F25"/>
    <w:rsid w:val="001B20A4"/>
    <w:rsid w:val="001B34D4"/>
    <w:rsid w:val="001B419A"/>
    <w:rsid w:val="001C00A7"/>
    <w:rsid w:val="001D0B2D"/>
    <w:rsid w:val="001D1A8E"/>
    <w:rsid w:val="001D4006"/>
    <w:rsid w:val="001D5B05"/>
    <w:rsid w:val="001D5F2A"/>
    <w:rsid w:val="001E3EFB"/>
    <w:rsid w:val="001E475D"/>
    <w:rsid w:val="001E6123"/>
    <w:rsid w:val="001F00C3"/>
    <w:rsid w:val="001F0636"/>
    <w:rsid w:val="001F0939"/>
    <w:rsid w:val="001F4ECB"/>
    <w:rsid w:val="001F505E"/>
    <w:rsid w:val="001F6E17"/>
    <w:rsid w:val="001F700E"/>
    <w:rsid w:val="00200AF1"/>
    <w:rsid w:val="00205353"/>
    <w:rsid w:val="00206C2E"/>
    <w:rsid w:val="0020780B"/>
    <w:rsid w:val="00210712"/>
    <w:rsid w:val="002128C4"/>
    <w:rsid w:val="00213200"/>
    <w:rsid w:val="002227EC"/>
    <w:rsid w:val="00225B27"/>
    <w:rsid w:val="00225DB6"/>
    <w:rsid w:val="00226B25"/>
    <w:rsid w:val="00234657"/>
    <w:rsid w:val="00237E50"/>
    <w:rsid w:val="00243DAB"/>
    <w:rsid w:val="00243DDE"/>
    <w:rsid w:val="002447F5"/>
    <w:rsid w:val="00250527"/>
    <w:rsid w:val="00250ECE"/>
    <w:rsid w:val="00254E0E"/>
    <w:rsid w:val="00262684"/>
    <w:rsid w:val="0027055E"/>
    <w:rsid w:val="00271F16"/>
    <w:rsid w:val="0027359D"/>
    <w:rsid w:val="002747C2"/>
    <w:rsid w:val="00277500"/>
    <w:rsid w:val="002779A1"/>
    <w:rsid w:val="00294FA8"/>
    <w:rsid w:val="002A0D1B"/>
    <w:rsid w:val="002A12C7"/>
    <w:rsid w:val="002A2C1F"/>
    <w:rsid w:val="002A575E"/>
    <w:rsid w:val="002A6D69"/>
    <w:rsid w:val="002A7E5B"/>
    <w:rsid w:val="002B4320"/>
    <w:rsid w:val="002C19F0"/>
    <w:rsid w:val="002C42A5"/>
    <w:rsid w:val="002C58C6"/>
    <w:rsid w:val="002C723F"/>
    <w:rsid w:val="002D059F"/>
    <w:rsid w:val="002D1A21"/>
    <w:rsid w:val="002D218E"/>
    <w:rsid w:val="002D57FF"/>
    <w:rsid w:val="002E085F"/>
    <w:rsid w:val="002E2144"/>
    <w:rsid w:val="002E5FBF"/>
    <w:rsid w:val="002F2301"/>
    <w:rsid w:val="002F2606"/>
    <w:rsid w:val="002F49CC"/>
    <w:rsid w:val="002F4E7F"/>
    <w:rsid w:val="002F6C74"/>
    <w:rsid w:val="00301414"/>
    <w:rsid w:val="00303DA1"/>
    <w:rsid w:val="003041D1"/>
    <w:rsid w:val="003074B2"/>
    <w:rsid w:val="00315684"/>
    <w:rsid w:val="00316DCC"/>
    <w:rsid w:val="003175BA"/>
    <w:rsid w:val="003211A5"/>
    <w:rsid w:val="003303EF"/>
    <w:rsid w:val="00336AB6"/>
    <w:rsid w:val="00341908"/>
    <w:rsid w:val="003443C6"/>
    <w:rsid w:val="0034507D"/>
    <w:rsid w:val="00352C73"/>
    <w:rsid w:val="003557CB"/>
    <w:rsid w:val="00355CDF"/>
    <w:rsid w:val="00367B7D"/>
    <w:rsid w:val="00372036"/>
    <w:rsid w:val="00373CD0"/>
    <w:rsid w:val="00377905"/>
    <w:rsid w:val="00384015"/>
    <w:rsid w:val="003848F0"/>
    <w:rsid w:val="00391013"/>
    <w:rsid w:val="003937B8"/>
    <w:rsid w:val="00395DE8"/>
    <w:rsid w:val="003968A4"/>
    <w:rsid w:val="003B4FD2"/>
    <w:rsid w:val="003B5F32"/>
    <w:rsid w:val="003B70E7"/>
    <w:rsid w:val="003B7151"/>
    <w:rsid w:val="003C047B"/>
    <w:rsid w:val="003C07E6"/>
    <w:rsid w:val="003C0D49"/>
    <w:rsid w:val="003C17C7"/>
    <w:rsid w:val="003C3291"/>
    <w:rsid w:val="003C524B"/>
    <w:rsid w:val="003C5881"/>
    <w:rsid w:val="003C5BE8"/>
    <w:rsid w:val="003D1A29"/>
    <w:rsid w:val="003D1BD1"/>
    <w:rsid w:val="003D31E8"/>
    <w:rsid w:val="003D3BA3"/>
    <w:rsid w:val="003D3F89"/>
    <w:rsid w:val="003D62E4"/>
    <w:rsid w:val="003D7E49"/>
    <w:rsid w:val="003E3CC8"/>
    <w:rsid w:val="003E407F"/>
    <w:rsid w:val="003E7ABF"/>
    <w:rsid w:val="003F0A12"/>
    <w:rsid w:val="003F10D9"/>
    <w:rsid w:val="003F1633"/>
    <w:rsid w:val="003F2949"/>
    <w:rsid w:val="004015DE"/>
    <w:rsid w:val="00401970"/>
    <w:rsid w:val="00405E6A"/>
    <w:rsid w:val="00407D70"/>
    <w:rsid w:val="00411BFA"/>
    <w:rsid w:val="00412DC3"/>
    <w:rsid w:val="0041550D"/>
    <w:rsid w:val="004228E0"/>
    <w:rsid w:val="00423641"/>
    <w:rsid w:val="00424CEF"/>
    <w:rsid w:val="00427D01"/>
    <w:rsid w:val="00435605"/>
    <w:rsid w:val="00450349"/>
    <w:rsid w:val="004522B9"/>
    <w:rsid w:val="004523C0"/>
    <w:rsid w:val="00453292"/>
    <w:rsid w:val="00454C3E"/>
    <w:rsid w:val="0045532E"/>
    <w:rsid w:val="004553AE"/>
    <w:rsid w:val="004614DD"/>
    <w:rsid w:val="00465B15"/>
    <w:rsid w:val="00466FCE"/>
    <w:rsid w:val="00467623"/>
    <w:rsid w:val="00467F6E"/>
    <w:rsid w:val="004819C5"/>
    <w:rsid w:val="00481C92"/>
    <w:rsid w:val="00481CC6"/>
    <w:rsid w:val="0048695C"/>
    <w:rsid w:val="004907A5"/>
    <w:rsid w:val="00492682"/>
    <w:rsid w:val="00493F98"/>
    <w:rsid w:val="004A58F4"/>
    <w:rsid w:val="004B2781"/>
    <w:rsid w:val="004B2FBD"/>
    <w:rsid w:val="004B4D4D"/>
    <w:rsid w:val="004B6491"/>
    <w:rsid w:val="004B74DB"/>
    <w:rsid w:val="004C0D46"/>
    <w:rsid w:val="004C1C7B"/>
    <w:rsid w:val="004C428B"/>
    <w:rsid w:val="004C4453"/>
    <w:rsid w:val="004C652C"/>
    <w:rsid w:val="004C7463"/>
    <w:rsid w:val="004C7550"/>
    <w:rsid w:val="004D2AB8"/>
    <w:rsid w:val="004D2C64"/>
    <w:rsid w:val="004D30C3"/>
    <w:rsid w:val="004D3512"/>
    <w:rsid w:val="004D529F"/>
    <w:rsid w:val="004E15A6"/>
    <w:rsid w:val="004E4718"/>
    <w:rsid w:val="004F5C04"/>
    <w:rsid w:val="004F7BFF"/>
    <w:rsid w:val="005029A8"/>
    <w:rsid w:val="00504034"/>
    <w:rsid w:val="00504CE6"/>
    <w:rsid w:val="00504D99"/>
    <w:rsid w:val="005053E7"/>
    <w:rsid w:val="00516205"/>
    <w:rsid w:val="00520871"/>
    <w:rsid w:val="005224AA"/>
    <w:rsid w:val="0052332D"/>
    <w:rsid w:val="00523BDF"/>
    <w:rsid w:val="00530CE4"/>
    <w:rsid w:val="00532C41"/>
    <w:rsid w:val="00537ACD"/>
    <w:rsid w:val="0054154F"/>
    <w:rsid w:val="00544F61"/>
    <w:rsid w:val="00545695"/>
    <w:rsid w:val="0055438C"/>
    <w:rsid w:val="005564E1"/>
    <w:rsid w:val="00560376"/>
    <w:rsid w:val="00564FA9"/>
    <w:rsid w:val="00582A20"/>
    <w:rsid w:val="00583425"/>
    <w:rsid w:val="005922B6"/>
    <w:rsid w:val="0059697F"/>
    <w:rsid w:val="005A2473"/>
    <w:rsid w:val="005B2073"/>
    <w:rsid w:val="005B2458"/>
    <w:rsid w:val="005B41B6"/>
    <w:rsid w:val="005E3D3A"/>
    <w:rsid w:val="005E656C"/>
    <w:rsid w:val="005F4ACE"/>
    <w:rsid w:val="005F4AEE"/>
    <w:rsid w:val="005F5FB9"/>
    <w:rsid w:val="00601FB2"/>
    <w:rsid w:val="00602042"/>
    <w:rsid w:val="006073A4"/>
    <w:rsid w:val="00611AEB"/>
    <w:rsid w:val="0061478A"/>
    <w:rsid w:val="006151F2"/>
    <w:rsid w:val="006217C8"/>
    <w:rsid w:val="00622A45"/>
    <w:rsid w:val="00623493"/>
    <w:rsid w:val="00624BC6"/>
    <w:rsid w:val="00624BD2"/>
    <w:rsid w:val="006250ED"/>
    <w:rsid w:val="006321BB"/>
    <w:rsid w:val="00634AC6"/>
    <w:rsid w:val="00636C08"/>
    <w:rsid w:val="0063778D"/>
    <w:rsid w:val="00640561"/>
    <w:rsid w:val="0064404E"/>
    <w:rsid w:val="00644ADA"/>
    <w:rsid w:val="00650072"/>
    <w:rsid w:val="00652571"/>
    <w:rsid w:val="00654FAC"/>
    <w:rsid w:val="00661389"/>
    <w:rsid w:val="0066226C"/>
    <w:rsid w:val="0066290A"/>
    <w:rsid w:val="00670980"/>
    <w:rsid w:val="00673F13"/>
    <w:rsid w:val="006769CC"/>
    <w:rsid w:val="0068691F"/>
    <w:rsid w:val="00691BA5"/>
    <w:rsid w:val="00692563"/>
    <w:rsid w:val="00693825"/>
    <w:rsid w:val="00693F84"/>
    <w:rsid w:val="0069453C"/>
    <w:rsid w:val="00694621"/>
    <w:rsid w:val="00695363"/>
    <w:rsid w:val="00697A14"/>
    <w:rsid w:val="006A02E6"/>
    <w:rsid w:val="006A4599"/>
    <w:rsid w:val="006A5B90"/>
    <w:rsid w:val="006A71EB"/>
    <w:rsid w:val="006A79B9"/>
    <w:rsid w:val="006B0511"/>
    <w:rsid w:val="006B08DF"/>
    <w:rsid w:val="006B1009"/>
    <w:rsid w:val="006B298F"/>
    <w:rsid w:val="006B3653"/>
    <w:rsid w:val="006B7410"/>
    <w:rsid w:val="006C11CD"/>
    <w:rsid w:val="006C27B1"/>
    <w:rsid w:val="006C5222"/>
    <w:rsid w:val="006C6EF3"/>
    <w:rsid w:val="006D43A2"/>
    <w:rsid w:val="006D5515"/>
    <w:rsid w:val="006D5EBE"/>
    <w:rsid w:val="006E4DDB"/>
    <w:rsid w:val="006E54CE"/>
    <w:rsid w:val="006E5EBF"/>
    <w:rsid w:val="006E5F83"/>
    <w:rsid w:val="006E6A79"/>
    <w:rsid w:val="006F041A"/>
    <w:rsid w:val="006F1BDE"/>
    <w:rsid w:val="006F6C5D"/>
    <w:rsid w:val="007024BF"/>
    <w:rsid w:val="00702E70"/>
    <w:rsid w:val="00711329"/>
    <w:rsid w:val="00711797"/>
    <w:rsid w:val="007117D7"/>
    <w:rsid w:val="00711A9A"/>
    <w:rsid w:val="00713772"/>
    <w:rsid w:val="007173E3"/>
    <w:rsid w:val="007203B3"/>
    <w:rsid w:val="00726899"/>
    <w:rsid w:val="00730483"/>
    <w:rsid w:val="00741EE5"/>
    <w:rsid w:val="0074463C"/>
    <w:rsid w:val="00745C14"/>
    <w:rsid w:val="00753A7B"/>
    <w:rsid w:val="00765A9D"/>
    <w:rsid w:val="007678F5"/>
    <w:rsid w:val="00772C0E"/>
    <w:rsid w:val="007743D9"/>
    <w:rsid w:val="00775EBC"/>
    <w:rsid w:val="00777885"/>
    <w:rsid w:val="0078253D"/>
    <w:rsid w:val="00783C10"/>
    <w:rsid w:val="00783D2A"/>
    <w:rsid w:val="00784387"/>
    <w:rsid w:val="007860E7"/>
    <w:rsid w:val="00786A41"/>
    <w:rsid w:val="00786C6D"/>
    <w:rsid w:val="00787B96"/>
    <w:rsid w:val="00791364"/>
    <w:rsid w:val="00791CF1"/>
    <w:rsid w:val="00795AA4"/>
    <w:rsid w:val="00795EE4"/>
    <w:rsid w:val="007966DA"/>
    <w:rsid w:val="007A47E4"/>
    <w:rsid w:val="007A4E82"/>
    <w:rsid w:val="007B1B03"/>
    <w:rsid w:val="007B67DB"/>
    <w:rsid w:val="007B7B04"/>
    <w:rsid w:val="007C0077"/>
    <w:rsid w:val="007C1F0F"/>
    <w:rsid w:val="007C4EFF"/>
    <w:rsid w:val="007D337F"/>
    <w:rsid w:val="007D54EF"/>
    <w:rsid w:val="007D6BF9"/>
    <w:rsid w:val="007E03AD"/>
    <w:rsid w:val="007E1B34"/>
    <w:rsid w:val="007E2DF3"/>
    <w:rsid w:val="007E3E0A"/>
    <w:rsid w:val="007E4D45"/>
    <w:rsid w:val="007F281E"/>
    <w:rsid w:val="007F3FF6"/>
    <w:rsid w:val="008002ED"/>
    <w:rsid w:val="008042E9"/>
    <w:rsid w:val="0080511A"/>
    <w:rsid w:val="00806EC1"/>
    <w:rsid w:val="00810AA8"/>
    <w:rsid w:val="00811DB9"/>
    <w:rsid w:val="00813147"/>
    <w:rsid w:val="00813FBB"/>
    <w:rsid w:val="0081413C"/>
    <w:rsid w:val="00817E08"/>
    <w:rsid w:val="008226AE"/>
    <w:rsid w:val="008301D5"/>
    <w:rsid w:val="0083113B"/>
    <w:rsid w:val="0083150F"/>
    <w:rsid w:val="008365D7"/>
    <w:rsid w:val="008437C9"/>
    <w:rsid w:val="008448BC"/>
    <w:rsid w:val="00845C3C"/>
    <w:rsid w:val="00847746"/>
    <w:rsid w:val="00850749"/>
    <w:rsid w:val="0085501D"/>
    <w:rsid w:val="00860DBF"/>
    <w:rsid w:val="008619BC"/>
    <w:rsid w:val="0086338F"/>
    <w:rsid w:val="00863508"/>
    <w:rsid w:val="008671A0"/>
    <w:rsid w:val="00867FAC"/>
    <w:rsid w:val="00876E09"/>
    <w:rsid w:val="00880A2B"/>
    <w:rsid w:val="00880CEE"/>
    <w:rsid w:val="008902A4"/>
    <w:rsid w:val="00891B77"/>
    <w:rsid w:val="0089450A"/>
    <w:rsid w:val="00895532"/>
    <w:rsid w:val="008A2B0C"/>
    <w:rsid w:val="008A4F3F"/>
    <w:rsid w:val="008A51BC"/>
    <w:rsid w:val="008A69F9"/>
    <w:rsid w:val="008A6FF8"/>
    <w:rsid w:val="008B053A"/>
    <w:rsid w:val="008B3777"/>
    <w:rsid w:val="008B42EF"/>
    <w:rsid w:val="008B4D8D"/>
    <w:rsid w:val="008C0CA7"/>
    <w:rsid w:val="008C22CC"/>
    <w:rsid w:val="008C22F9"/>
    <w:rsid w:val="008C4699"/>
    <w:rsid w:val="008C79C6"/>
    <w:rsid w:val="008D08CA"/>
    <w:rsid w:val="008D2D1F"/>
    <w:rsid w:val="008D3C62"/>
    <w:rsid w:val="008E04A9"/>
    <w:rsid w:val="008E15BF"/>
    <w:rsid w:val="008E57BC"/>
    <w:rsid w:val="008E6C03"/>
    <w:rsid w:val="008E7171"/>
    <w:rsid w:val="008E7707"/>
    <w:rsid w:val="008F263D"/>
    <w:rsid w:val="008F49AD"/>
    <w:rsid w:val="008F4C63"/>
    <w:rsid w:val="0090531C"/>
    <w:rsid w:val="0090545B"/>
    <w:rsid w:val="009108E3"/>
    <w:rsid w:val="00915276"/>
    <w:rsid w:val="009177D2"/>
    <w:rsid w:val="009211B5"/>
    <w:rsid w:val="00926975"/>
    <w:rsid w:val="00927087"/>
    <w:rsid w:val="00930D02"/>
    <w:rsid w:val="009353AA"/>
    <w:rsid w:val="009353FB"/>
    <w:rsid w:val="0093671B"/>
    <w:rsid w:val="009375C7"/>
    <w:rsid w:val="009443F9"/>
    <w:rsid w:val="0094482B"/>
    <w:rsid w:val="00944926"/>
    <w:rsid w:val="009477C1"/>
    <w:rsid w:val="009526B6"/>
    <w:rsid w:val="009543ED"/>
    <w:rsid w:val="0095441D"/>
    <w:rsid w:val="009575FA"/>
    <w:rsid w:val="0096608E"/>
    <w:rsid w:val="00966962"/>
    <w:rsid w:val="00976AA6"/>
    <w:rsid w:val="00977337"/>
    <w:rsid w:val="00986201"/>
    <w:rsid w:val="00986CAF"/>
    <w:rsid w:val="0099339E"/>
    <w:rsid w:val="009A02EF"/>
    <w:rsid w:val="009A051A"/>
    <w:rsid w:val="009A1244"/>
    <w:rsid w:val="009A2ACC"/>
    <w:rsid w:val="009A3894"/>
    <w:rsid w:val="009B1878"/>
    <w:rsid w:val="009C0B65"/>
    <w:rsid w:val="009D2999"/>
    <w:rsid w:val="009D391F"/>
    <w:rsid w:val="009D5508"/>
    <w:rsid w:val="009D6C5E"/>
    <w:rsid w:val="009E0C62"/>
    <w:rsid w:val="009E23DA"/>
    <w:rsid w:val="009E57D7"/>
    <w:rsid w:val="009F2385"/>
    <w:rsid w:val="00A05560"/>
    <w:rsid w:val="00A05E5A"/>
    <w:rsid w:val="00A13201"/>
    <w:rsid w:val="00A1345D"/>
    <w:rsid w:val="00A1565F"/>
    <w:rsid w:val="00A17E8E"/>
    <w:rsid w:val="00A21BDA"/>
    <w:rsid w:val="00A23C5A"/>
    <w:rsid w:val="00A25516"/>
    <w:rsid w:val="00A30146"/>
    <w:rsid w:val="00A34BB8"/>
    <w:rsid w:val="00A354AA"/>
    <w:rsid w:val="00A367A6"/>
    <w:rsid w:val="00A40BCD"/>
    <w:rsid w:val="00A43560"/>
    <w:rsid w:val="00A462B1"/>
    <w:rsid w:val="00A504BE"/>
    <w:rsid w:val="00A53151"/>
    <w:rsid w:val="00A536C2"/>
    <w:rsid w:val="00A5438B"/>
    <w:rsid w:val="00A55515"/>
    <w:rsid w:val="00A55DFC"/>
    <w:rsid w:val="00A605B4"/>
    <w:rsid w:val="00A62C6A"/>
    <w:rsid w:val="00A6574E"/>
    <w:rsid w:val="00A6684C"/>
    <w:rsid w:val="00A67ADF"/>
    <w:rsid w:val="00A801D8"/>
    <w:rsid w:val="00A910F5"/>
    <w:rsid w:val="00A92F24"/>
    <w:rsid w:val="00A94F50"/>
    <w:rsid w:val="00A95B12"/>
    <w:rsid w:val="00A95DF0"/>
    <w:rsid w:val="00A971AE"/>
    <w:rsid w:val="00AA02EE"/>
    <w:rsid w:val="00AA61AA"/>
    <w:rsid w:val="00AB53A7"/>
    <w:rsid w:val="00AC59D3"/>
    <w:rsid w:val="00AC625D"/>
    <w:rsid w:val="00AC6FAF"/>
    <w:rsid w:val="00AC750C"/>
    <w:rsid w:val="00AD0AF4"/>
    <w:rsid w:val="00AE555B"/>
    <w:rsid w:val="00AE7066"/>
    <w:rsid w:val="00AE73FD"/>
    <w:rsid w:val="00AF1956"/>
    <w:rsid w:val="00AF1CC3"/>
    <w:rsid w:val="00AF57B5"/>
    <w:rsid w:val="00AF6B2A"/>
    <w:rsid w:val="00B01752"/>
    <w:rsid w:val="00B02BE7"/>
    <w:rsid w:val="00B05519"/>
    <w:rsid w:val="00B07009"/>
    <w:rsid w:val="00B07486"/>
    <w:rsid w:val="00B11BF1"/>
    <w:rsid w:val="00B11EB8"/>
    <w:rsid w:val="00B12B67"/>
    <w:rsid w:val="00B1694C"/>
    <w:rsid w:val="00B17CF0"/>
    <w:rsid w:val="00B2110F"/>
    <w:rsid w:val="00B21730"/>
    <w:rsid w:val="00B229F1"/>
    <w:rsid w:val="00B23B1F"/>
    <w:rsid w:val="00B3751C"/>
    <w:rsid w:val="00B4071E"/>
    <w:rsid w:val="00B42983"/>
    <w:rsid w:val="00B43D1C"/>
    <w:rsid w:val="00B44DFB"/>
    <w:rsid w:val="00B549D0"/>
    <w:rsid w:val="00B57C3A"/>
    <w:rsid w:val="00B609B8"/>
    <w:rsid w:val="00B612A1"/>
    <w:rsid w:val="00B64D49"/>
    <w:rsid w:val="00B75088"/>
    <w:rsid w:val="00B81168"/>
    <w:rsid w:val="00B8442E"/>
    <w:rsid w:val="00B86089"/>
    <w:rsid w:val="00B93F99"/>
    <w:rsid w:val="00B94280"/>
    <w:rsid w:val="00B9514F"/>
    <w:rsid w:val="00B953BB"/>
    <w:rsid w:val="00BA7016"/>
    <w:rsid w:val="00BB076C"/>
    <w:rsid w:val="00BB4F69"/>
    <w:rsid w:val="00BB62EC"/>
    <w:rsid w:val="00BB6718"/>
    <w:rsid w:val="00BB7F75"/>
    <w:rsid w:val="00BC167E"/>
    <w:rsid w:val="00BC2717"/>
    <w:rsid w:val="00BC59BB"/>
    <w:rsid w:val="00BC6717"/>
    <w:rsid w:val="00BC6929"/>
    <w:rsid w:val="00BC6B2A"/>
    <w:rsid w:val="00BC77B1"/>
    <w:rsid w:val="00BD1297"/>
    <w:rsid w:val="00BD3E2E"/>
    <w:rsid w:val="00BD71FF"/>
    <w:rsid w:val="00BD7900"/>
    <w:rsid w:val="00BE0343"/>
    <w:rsid w:val="00BE15D0"/>
    <w:rsid w:val="00BE7D7C"/>
    <w:rsid w:val="00BF047F"/>
    <w:rsid w:val="00BF1747"/>
    <w:rsid w:val="00BF7D38"/>
    <w:rsid w:val="00C043AD"/>
    <w:rsid w:val="00C16499"/>
    <w:rsid w:val="00C17198"/>
    <w:rsid w:val="00C17960"/>
    <w:rsid w:val="00C201FF"/>
    <w:rsid w:val="00C22DBF"/>
    <w:rsid w:val="00C23707"/>
    <w:rsid w:val="00C25969"/>
    <w:rsid w:val="00C33AB9"/>
    <w:rsid w:val="00C35F9D"/>
    <w:rsid w:val="00C3609F"/>
    <w:rsid w:val="00C37437"/>
    <w:rsid w:val="00C3767C"/>
    <w:rsid w:val="00C40BB6"/>
    <w:rsid w:val="00C513E8"/>
    <w:rsid w:val="00C54C40"/>
    <w:rsid w:val="00C55372"/>
    <w:rsid w:val="00C725F3"/>
    <w:rsid w:val="00C748E4"/>
    <w:rsid w:val="00C75002"/>
    <w:rsid w:val="00C75245"/>
    <w:rsid w:val="00C7741B"/>
    <w:rsid w:val="00C82566"/>
    <w:rsid w:val="00C83F34"/>
    <w:rsid w:val="00C84DC3"/>
    <w:rsid w:val="00C855B7"/>
    <w:rsid w:val="00C87905"/>
    <w:rsid w:val="00C9076D"/>
    <w:rsid w:val="00C9310D"/>
    <w:rsid w:val="00C94B3C"/>
    <w:rsid w:val="00C96691"/>
    <w:rsid w:val="00CA0C39"/>
    <w:rsid w:val="00CA343B"/>
    <w:rsid w:val="00CA46F4"/>
    <w:rsid w:val="00CA5C46"/>
    <w:rsid w:val="00CB467C"/>
    <w:rsid w:val="00CC48F4"/>
    <w:rsid w:val="00CC5A4F"/>
    <w:rsid w:val="00CC5CE0"/>
    <w:rsid w:val="00CD1DB9"/>
    <w:rsid w:val="00CD3C33"/>
    <w:rsid w:val="00CD4B49"/>
    <w:rsid w:val="00CD5A16"/>
    <w:rsid w:val="00CD7358"/>
    <w:rsid w:val="00CD7920"/>
    <w:rsid w:val="00CE386E"/>
    <w:rsid w:val="00CE3CA9"/>
    <w:rsid w:val="00CE3F64"/>
    <w:rsid w:val="00CE403C"/>
    <w:rsid w:val="00CE6415"/>
    <w:rsid w:val="00CF3341"/>
    <w:rsid w:val="00CF6BEB"/>
    <w:rsid w:val="00D01DC9"/>
    <w:rsid w:val="00D02063"/>
    <w:rsid w:val="00D05BDB"/>
    <w:rsid w:val="00D06AC3"/>
    <w:rsid w:val="00D138E8"/>
    <w:rsid w:val="00D163FA"/>
    <w:rsid w:val="00D17DC6"/>
    <w:rsid w:val="00D261A5"/>
    <w:rsid w:val="00D3266D"/>
    <w:rsid w:val="00D3326E"/>
    <w:rsid w:val="00D35D0D"/>
    <w:rsid w:val="00D402E0"/>
    <w:rsid w:val="00D419C3"/>
    <w:rsid w:val="00D46B3E"/>
    <w:rsid w:val="00D5070D"/>
    <w:rsid w:val="00D529C0"/>
    <w:rsid w:val="00D6124A"/>
    <w:rsid w:val="00D61791"/>
    <w:rsid w:val="00D6205A"/>
    <w:rsid w:val="00D6355D"/>
    <w:rsid w:val="00D64059"/>
    <w:rsid w:val="00D65CC3"/>
    <w:rsid w:val="00D7313E"/>
    <w:rsid w:val="00D731E3"/>
    <w:rsid w:val="00D7440A"/>
    <w:rsid w:val="00D76F64"/>
    <w:rsid w:val="00D778BF"/>
    <w:rsid w:val="00D77E48"/>
    <w:rsid w:val="00D8045F"/>
    <w:rsid w:val="00D8510E"/>
    <w:rsid w:val="00D867E1"/>
    <w:rsid w:val="00D8690E"/>
    <w:rsid w:val="00D90DBC"/>
    <w:rsid w:val="00D91E66"/>
    <w:rsid w:val="00D9280F"/>
    <w:rsid w:val="00D96D16"/>
    <w:rsid w:val="00DA2442"/>
    <w:rsid w:val="00DA529A"/>
    <w:rsid w:val="00DA618A"/>
    <w:rsid w:val="00DA6A2A"/>
    <w:rsid w:val="00DA6EAA"/>
    <w:rsid w:val="00DA7012"/>
    <w:rsid w:val="00DA78BD"/>
    <w:rsid w:val="00DB6711"/>
    <w:rsid w:val="00DB7048"/>
    <w:rsid w:val="00DC3602"/>
    <w:rsid w:val="00DC4DE4"/>
    <w:rsid w:val="00DC6E27"/>
    <w:rsid w:val="00DD343E"/>
    <w:rsid w:val="00DD69FB"/>
    <w:rsid w:val="00DE04B4"/>
    <w:rsid w:val="00DE5B0E"/>
    <w:rsid w:val="00DE7E9C"/>
    <w:rsid w:val="00DF0358"/>
    <w:rsid w:val="00DF051D"/>
    <w:rsid w:val="00DF5F4C"/>
    <w:rsid w:val="00DF6F90"/>
    <w:rsid w:val="00E0072A"/>
    <w:rsid w:val="00E02BD3"/>
    <w:rsid w:val="00E051F0"/>
    <w:rsid w:val="00E06893"/>
    <w:rsid w:val="00E069DF"/>
    <w:rsid w:val="00E1400A"/>
    <w:rsid w:val="00E15408"/>
    <w:rsid w:val="00E16358"/>
    <w:rsid w:val="00E1766B"/>
    <w:rsid w:val="00E22497"/>
    <w:rsid w:val="00E22E4F"/>
    <w:rsid w:val="00E23094"/>
    <w:rsid w:val="00E24E53"/>
    <w:rsid w:val="00E2583E"/>
    <w:rsid w:val="00E27CD0"/>
    <w:rsid w:val="00E46152"/>
    <w:rsid w:val="00E4640C"/>
    <w:rsid w:val="00E52423"/>
    <w:rsid w:val="00E55054"/>
    <w:rsid w:val="00E55CF3"/>
    <w:rsid w:val="00E5610A"/>
    <w:rsid w:val="00E6151A"/>
    <w:rsid w:val="00E6189A"/>
    <w:rsid w:val="00E66A93"/>
    <w:rsid w:val="00E709FA"/>
    <w:rsid w:val="00E7216E"/>
    <w:rsid w:val="00E77E21"/>
    <w:rsid w:val="00E80594"/>
    <w:rsid w:val="00E81EFB"/>
    <w:rsid w:val="00E823F3"/>
    <w:rsid w:val="00E83701"/>
    <w:rsid w:val="00E83A53"/>
    <w:rsid w:val="00E83E65"/>
    <w:rsid w:val="00E841CD"/>
    <w:rsid w:val="00E91F2C"/>
    <w:rsid w:val="00E93767"/>
    <w:rsid w:val="00E94831"/>
    <w:rsid w:val="00E94FB7"/>
    <w:rsid w:val="00E97FDE"/>
    <w:rsid w:val="00EA0763"/>
    <w:rsid w:val="00EA3AE7"/>
    <w:rsid w:val="00EA4C05"/>
    <w:rsid w:val="00EA6D9D"/>
    <w:rsid w:val="00EB0CF5"/>
    <w:rsid w:val="00EB0D17"/>
    <w:rsid w:val="00EB3C2B"/>
    <w:rsid w:val="00EB7865"/>
    <w:rsid w:val="00EC6086"/>
    <w:rsid w:val="00ED79E9"/>
    <w:rsid w:val="00EE0E9A"/>
    <w:rsid w:val="00EE29E2"/>
    <w:rsid w:val="00EE622B"/>
    <w:rsid w:val="00EE6CB8"/>
    <w:rsid w:val="00EF0A9D"/>
    <w:rsid w:val="00EF3ABA"/>
    <w:rsid w:val="00EF582F"/>
    <w:rsid w:val="00EF7AC5"/>
    <w:rsid w:val="00F10D68"/>
    <w:rsid w:val="00F116E2"/>
    <w:rsid w:val="00F11B55"/>
    <w:rsid w:val="00F12A45"/>
    <w:rsid w:val="00F16BAE"/>
    <w:rsid w:val="00F20775"/>
    <w:rsid w:val="00F21BCC"/>
    <w:rsid w:val="00F228D1"/>
    <w:rsid w:val="00F23DC3"/>
    <w:rsid w:val="00F26191"/>
    <w:rsid w:val="00F277A7"/>
    <w:rsid w:val="00F33004"/>
    <w:rsid w:val="00F33F8D"/>
    <w:rsid w:val="00F36C0D"/>
    <w:rsid w:val="00F36F27"/>
    <w:rsid w:val="00F45B57"/>
    <w:rsid w:val="00F47C36"/>
    <w:rsid w:val="00F506FF"/>
    <w:rsid w:val="00F5332D"/>
    <w:rsid w:val="00F539C2"/>
    <w:rsid w:val="00F6305B"/>
    <w:rsid w:val="00F7141C"/>
    <w:rsid w:val="00F743C0"/>
    <w:rsid w:val="00F76B45"/>
    <w:rsid w:val="00F80289"/>
    <w:rsid w:val="00F803EA"/>
    <w:rsid w:val="00F82EAF"/>
    <w:rsid w:val="00F840CE"/>
    <w:rsid w:val="00F84A39"/>
    <w:rsid w:val="00F86D5F"/>
    <w:rsid w:val="00F90CF1"/>
    <w:rsid w:val="00F93098"/>
    <w:rsid w:val="00F978F2"/>
    <w:rsid w:val="00FA0648"/>
    <w:rsid w:val="00FA0861"/>
    <w:rsid w:val="00FA2BDD"/>
    <w:rsid w:val="00FB79CA"/>
    <w:rsid w:val="00FC228C"/>
    <w:rsid w:val="00FC731F"/>
    <w:rsid w:val="00FC7CB0"/>
    <w:rsid w:val="00FD26A8"/>
    <w:rsid w:val="00FD4C3A"/>
    <w:rsid w:val="00FD6F58"/>
    <w:rsid w:val="00FE1A4A"/>
    <w:rsid w:val="00FE53C2"/>
    <w:rsid w:val="00FE6750"/>
    <w:rsid w:val="00FE7042"/>
    <w:rsid w:val="00FF1D52"/>
    <w:rsid w:val="00FF3DDD"/>
    <w:rsid w:val="00FF4487"/>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697E"/>
  <w15:chartTrackingRefBased/>
  <w15:docId w15:val="{0548634C-9BB6-4D99-BC39-B346E379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FA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E04B4"/>
    <w:pPr>
      <w:ind w:left="720"/>
      <w:contextualSpacing/>
    </w:pPr>
  </w:style>
  <w:style w:type="paragraph" w:styleId="Header">
    <w:name w:val="header"/>
    <w:basedOn w:val="Normal"/>
    <w:link w:val="HeaderChar"/>
    <w:uiPriority w:val="99"/>
    <w:unhideWhenUsed/>
    <w:rsid w:val="003F1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0D9"/>
  </w:style>
  <w:style w:type="paragraph" w:styleId="Footer">
    <w:name w:val="footer"/>
    <w:basedOn w:val="Normal"/>
    <w:link w:val="FooterChar"/>
    <w:uiPriority w:val="99"/>
    <w:unhideWhenUsed/>
    <w:rsid w:val="003F1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0D9"/>
  </w:style>
  <w:style w:type="paragraph" w:styleId="FootnoteText">
    <w:name w:val="footnote text"/>
    <w:basedOn w:val="Normal"/>
    <w:link w:val="FootnoteTextChar"/>
    <w:uiPriority w:val="99"/>
    <w:semiHidden/>
    <w:unhideWhenUsed/>
    <w:rsid w:val="00596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97F"/>
    <w:rPr>
      <w:sz w:val="20"/>
      <w:szCs w:val="20"/>
    </w:rPr>
  </w:style>
  <w:style w:type="character" w:styleId="FootnoteReference">
    <w:name w:val="footnote reference"/>
    <w:basedOn w:val="DefaultParagraphFont"/>
    <w:uiPriority w:val="99"/>
    <w:semiHidden/>
    <w:unhideWhenUsed/>
    <w:rsid w:val="0059697F"/>
    <w:rPr>
      <w:vertAlign w:val="superscript"/>
    </w:rPr>
  </w:style>
  <w:style w:type="paragraph" w:styleId="EndnoteText">
    <w:name w:val="endnote text"/>
    <w:basedOn w:val="Normal"/>
    <w:link w:val="EndnoteTextChar"/>
    <w:uiPriority w:val="99"/>
    <w:semiHidden/>
    <w:unhideWhenUsed/>
    <w:rsid w:val="00F330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3004"/>
    <w:rPr>
      <w:sz w:val="20"/>
      <w:szCs w:val="20"/>
    </w:rPr>
  </w:style>
  <w:style w:type="character" w:styleId="EndnoteReference">
    <w:name w:val="endnote reference"/>
    <w:basedOn w:val="DefaultParagraphFont"/>
    <w:uiPriority w:val="99"/>
    <w:semiHidden/>
    <w:unhideWhenUsed/>
    <w:rsid w:val="00F33004"/>
    <w:rPr>
      <w:vertAlign w:val="superscript"/>
    </w:rPr>
  </w:style>
  <w:style w:type="character" w:styleId="Hyperlink">
    <w:name w:val="Hyperlink"/>
    <w:basedOn w:val="DefaultParagraphFont"/>
    <w:uiPriority w:val="99"/>
    <w:semiHidden/>
    <w:unhideWhenUsed/>
    <w:rsid w:val="006151F2"/>
    <w:rPr>
      <w:color w:val="0000FF"/>
      <w:u w:val="single"/>
    </w:rPr>
  </w:style>
  <w:style w:type="character" w:styleId="FollowedHyperlink">
    <w:name w:val="FollowedHyperlink"/>
    <w:basedOn w:val="DefaultParagraphFont"/>
    <w:uiPriority w:val="99"/>
    <w:semiHidden/>
    <w:unhideWhenUsed/>
    <w:rsid w:val="00E23094"/>
    <w:rPr>
      <w:color w:val="954F72" w:themeColor="followedHyperlink"/>
      <w:u w:val="single"/>
    </w:rPr>
  </w:style>
  <w:style w:type="paragraph" w:styleId="BalloonText">
    <w:name w:val="Balloon Text"/>
    <w:basedOn w:val="Normal"/>
    <w:link w:val="BalloonTextChar"/>
    <w:uiPriority w:val="99"/>
    <w:semiHidden/>
    <w:unhideWhenUsed/>
    <w:rsid w:val="002D0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59F"/>
    <w:rPr>
      <w:rFonts w:ascii="Segoe UI" w:hAnsi="Segoe UI" w:cs="Segoe UI"/>
      <w:sz w:val="18"/>
      <w:szCs w:val="18"/>
    </w:rPr>
  </w:style>
  <w:style w:type="numbering" w:customStyle="1" w:styleId="CurrentList1">
    <w:name w:val="Current List1"/>
    <w:uiPriority w:val="99"/>
    <w:rsid w:val="00B612A1"/>
    <w:pPr>
      <w:numPr>
        <w:numId w:val="21"/>
      </w:numPr>
    </w:pPr>
  </w:style>
  <w:style w:type="paragraph" w:styleId="Revision">
    <w:name w:val="Revision"/>
    <w:hidden/>
    <w:uiPriority w:val="99"/>
    <w:semiHidden/>
    <w:rsid w:val="00C16499"/>
    <w:pPr>
      <w:spacing w:after="0" w:line="240" w:lineRule="auto"/>
    </w:pPr>
  </w:style>
  <w:style w:type="character" w:styleId="CommentReference">
    <w:name w:val="annotation reference"/>
    <w:basedOn w:val="DefaultParagraphFont"/>
    <w:uiPriority w:val="99"/>
    <w:semiHidden/>
    <w:unhideWhenUsed/>
    <w:rsid w:val="00C16499"/>
    <w:rPr>
      <w:sz w:val="16"/>
      <w:szCs w:val="16"/>
    </w:rPr>
  </w:style>
  <w:style w:type="paragraph" w:styleId="CommentText">
    <w:name w:val="annotation text"/>
    <w:basedOn w:val="Normal"/>
    <w:link w:val="CommentTextChar"/>
    <w:uiPriority w:val="99"/>
    <w:unhideWhenUsed/>
    <w:rsid w:val="00C16499"/>
    <w:pPr>
      <w:spacing w:line="240" w:lineRule="auto"/>
    </w:pPr>
    <w:rPr>
      <w:sz w:val="20"/>
      <w:szCs w:val="20"/>
    </w:rPr>
  </w:style>
  <w:style w:type="character" w:customStyle="1" w:styleId="CommentTextChar">
    <w:name w:val="Comment Text Char"/>
    <w:basedOn w:val="DefaultParagraphFont"/>
    <w:link w:val="CommentText"/>
    <w:uiPriority w:val="99"/>
    <w:rsid w:val="00C16499"/>
    <w:rPr>
      <w:sz w:val="20"/>
      <w:szCs w:val="20"/>
    </w:rPr>
  </w:style>
  <w:style w:type="paragraph" w:styleId="CommentSubject">
    <w:name w:val="annotation subject"/>
    <w:basedOn w:val="CommentText"/>
    <w:next w:val="CommentText"/>
    <w:link w:val="CommentSubjectChar"/>
    <w:uiPriority w:val="99"/>
    <w:semiHidden/>
    <w:unhideWhenUsed/>
    <w:rsid w:val="00C16499"/>
    <w:rPr>
      <w:b/>
      <w:bCs/>
    </w:rPr>
  </w:style>
  <w:style w:type="character" w:customStyle="1" w:styleId="CommentSubjectChar">
    <w:name w:val="Comment Subject Char"/>
    <w:basedOn w:val="CommentTextChar"/>
    <w:link w:val="CommentSubject"/>
    <w:uiPriority w:val="99"/>
    <w:semiHidden/>
    <w:rsid w:val="00C164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8500">
      <w:bodyDiv w:val="1"/>
      <w:marLeft w:val="0"/>
      <w:marRight w:val="0"/>
      <w:marTop w:val="0"/>
      <w:marBottom w:val="0"/>
      <w:divBdr>
        <w:top w:val="none" w:sz="0" w:space="0" w:color="auto"/>
        <w:left w:val="none" w:sz="0" w:space="0" w:color="auto"/>
        <w:bottom w:val="none" w:sz="0" w:space="0" w:color="auto"/>
        <w:right w:val="none" w:sz="0" w:space="0" w:color="auto"/>
      </w:divBdr>
    </w:div>
    <w:div w:id="204411242">
      <w:bodyDiv w:val="1"/>
      <w:marLeft w:val="0"/>
      <w:marRight w:val="0"/>
      <w:marTop w:val="0"/>
      <w:marBottom w:val="0"/>
      <w:divBdr>
        <w:top w:val="none" w:sz="0" w:space="0" w:color="auto"/>
        <w:left w:val="none" w:sz="0" w:space="0" w:color="auto"/>
        <w:bottom w:val="none" w:sz="0" w:space="0" w:color="auto"/>
        <w:right w:val="none" w:sz="0" w:space="0" w:color="auto"/>
      </w:divBdr>
    </w:div>
    <w:div w:id="213351613">
      <w:bodyDiv w:val="1"/>
      <w:marLeft w:val="0"/>
      <w:marRight w:val="0"/>
      <w:marTop w:val="0"/>
      <w:marBottom w:val="0"/>
      <w:divBdr>
        <w:top w:val="none" w:sz="0" w:space="0" w:color="auto"/>
        <w:left w:val="none" w:sz="0" w:space="0" w:color="auto"/>
        <w:bottom w:val="none" w:sz="0" w:space="0" w:color="auto"/>
        <w:right w:val="none" w:sz="0" w:space="0" w:color="auto"/>
      </w:divBdr>
    </w:div>
    <w:div w:id="250045135">
      <w:bodyDiv w:val="1"/>
      <w:marLeft w:val="0"/>
      <w:marRight w:val="0"/>
      <w:marTop w:val="0"/>
      <w:marBottom w:val="0"/>
      <w:divBdr>
        <w:top w:val="none" w:sz="0" w:space="0" w:color="auto"/>
        <w:left w:val="none" w:sz="0" w:space="0" w:color="auto"/>
        <w:bottom w:val="none" w:sz="0" w:space="0" w:color="auto"/>
        <w:right w:val="none" w:sz="0" w:space="0" w:color="auto"/>
      </w:divBdr>
    </w:div>
    <w:div w:id="261843397">
      <w:bodyDiv w:val="1"/>
      <w:marLeft w:val="0"/>
      <w:marRight w:val="0"/>
      <w:marTop w:val="0"/>
      <w:marBottom w:val="0"/>
      <w:divBdr>
        <w:top w:val="none" w:sz="0" w:space="0" w:color="auto"/>
        <w:left w:val="none" w:sz="0" w:space="0" w:color="auto"/>
        <w:bottom w:val="none" w:sz="0" w:space="0" w:color="auto"/>
        <w:right w:val="none" w:sz="0" w:space="0" w:color="auto"/>
      </w:divBdr>
    </w:div>
    <w:div w:id="347215524">
      <w:bodyDiv w:val="1"/>
      <w:marLeft w:val="0"/>
      <w:marRight w:val="0"/>
      <w:marTop w:val="0"/>
      <w:marBottom w:val="0"/>
      <w:divBdr>
        <w:top w:val="none" w:sz="0" w:space="0" w:color="auto"/>
        <w:left w:val="none" w:sz="0" w:space="0" w:color="auto"/>
        <w:bottom w:val="none" w:sz="0" w:space="0" w:color="auto"/>
        <w:right w:val="none" w:sz="0" w:space="0" w:color="auto"/>
      </w:divBdr>
    </w:div>
    <w:div w:id="382946235">
      <w:bodyDiv w:val="1"/>
      <w:marLeft w:val="0"/>
      <w:marRight w:val="0"/>
      <w:marTop w:val="0"/>
      <w:marBottom w:val="0"/>
      <w:divBdr>
        <w:top w:val="none" w:sz="0" w:space="0" w:color="auto"/>
        <w:left w:val="none" w:sz="0" w:space="0" w:color="auto"/>
        <w:bottom w:val="none" w:sz="0" w:space="0" w:color="auto"/>
        <w:right w:val="none" w:sz="0" w:space="0" w:color="auto"/>
      </w:divBdr>
    </w:div>
    <w:div w:id="413211992">
      <w:bodyDiv w:val="1"/>
      <w:marLeft w:val="0"/>
      <w:marRight w:val="0"/>
      <w:marTop w:val="0"/>
      <w:marBottom w:val="0"/>
      <w:divBdr>
        <w:top w:val="none" w:sz="0" w:space="0" w:color="auto"/>
        <w:left w:val="none" w:sz="0" w:space="0" w:color="auto"/>
        <w:bottom w:val="none" w:sz="0" w:space="0" w:color="auto"/>
        <w:right w:val="none" w:sz="0" w:space="0" w:color="auto"/>
      </w:divBdr>
    </w:div>
    <w:div w:id="464154552">
      <w:bodyDiv w:val="1"/>
      <w:marLeft w:val="0"/>
      <w:marRight w:val="0"/>
      <w:marTop w:val="0"/>
      <w:marBottom w:val="0"/>
      <w:divBdr>
        <w:top w:val="none" w:sz="0" w:space="0" w:color="auto"/>
        <w:left w:val="none" w:sz="0" w:space="0" w:color="auto"/>
        <w:bottom w:val="none" w:sz="0" w:space="0" w:color="auto"/>
        <w:right w:val="none" w:sz="0" w:space="0" w:color="auto"/>
      </w:divBdr>
    </w:div>
    <w:div w:id="535852184">
      <w:bodyDiv w:val="1"/>
      <w:marLeft w:val="0"/>
      <w:marRight w:val="0"/>
      <w:marTop w:val="0"/>
      <w:marBottom w:val="0"/>
      <w:divBdr>
        <w:top w:val="none" w:sz="0" w:space="0" w:color="auto"/>
        <w:left w:val="none" w:sz="0" w:space="0" w:color="auto"/>
        <w:bottom w:val="none" w:sz="0" w:space="0" w:color="auto"/>
        <w:right w:val="none" w:sz="0" w:space="0" w:color="auto"/>
      </w:divBdr>
    </w:div>
    <w:div w:id="553200835">
      <w:bodyDiv w:val="1"/>
      <w:marLeft w:val="0"/>
      <w:marRight w:val="0"/>
      <w:marTop w:val="0"/>
      <w:marBottom w:val="0"/>
      <w:divBdr>
        <w:top w:val="none" w:sz="0" w:space="0" w:color="auto"/>
        <w:left w:val="none" w:sz="0" w:space="0" w:color="auto"/>
        <w:bottom w:val="none" w:sz="0" w:space="0" w:color="auto"/>
        <w:right w:val="none" w:sz="0" w:space="0" w:color="auto"/>
      </w:divBdr>
    </w:div>
    <w:div w:id="850534626">
      <w:bodyDiv w:val="1"/>
      <w:marLeft w:val="0"/>
      <w:marRight w:val="0"/>
      <w:marTop w:val="0"/>
      <w:marBottom w:val="0"/>
      <w:divBdr>
        <w:top w:val="none" w:sz="0" w:space="0" w:color="auto"/>
        <w:left w:val="none" w:sz="0" w:space="0" w:color="auto"/>
        <w:bottom w:val="none" w:sz="0" w:space="0" w:color="auto"/>
        <w:right w:val="none" w:sz="0" w:space="0" w:color="auto"/>
      </w:divBdr>
    </w:div>
    <w:div w:id="949820515">
      <w:bodyDiv w:val="1"/>
      <w:marLeft w:val="0"/>
      <w:marRight w:val="0"/>
      <w:marTop w:val="0"/>
      <w:marBottom w:val="0"/>
      <w:divBdr>
        <w:top w:val="none" w:sz="0" w:space="0" w:color="auto"/>
        <w:left w:val="none" w:sz="0" w:space="0" w:color="auto"/>
        <w:bottom w:val="none" w:sz="0" w:space="0" w:color="auto"/>
        <w:right w:val="none" w:sz="0" w:space="0" w:color="auto"/>
      </w:divBdr>
    </w:div>
    <w:div w:id="1004674378">
      <w:bodyDiv w:val="1"/>
      <w:marLeft w:val="0"/>
      <w:marRight w:val="0"/>
      <w:marTop w:val="0"/>
      <w:marBottom w:val="0"/>
      <w:divBdr>
        <w:top w:val="none" w:sz="0" w:space="0" w:color="auto"/>
        <w:left w:val="none" w:sz="0" w:space="0" w:color="auto"/>
        <w:bottom w:val="none" w:sz="0" w:space="0" w:color="auto"/>
        <w:right w:val="none" w:sz="0" w:space="0" w:color="auto"/>
      </w:divBdr>
    </w:div>
    <w:div w:id="1032340270">
      <w:bodyDiv w:val="1"/>
      <w:marLeft w:val="0"/>
      <w:marRight w:val="0"/>
      <w:marTop w:val="0"/>
      <w:marBottom w:val="0"/>
      <w:divBdr>
        <w:top w:val="none" w:sz="0" w:space="0" w:color="auto"/>
        <w:left w:val="none" w:sz="0" w:space="0" w:color="auto"/>
        <w:bottom w:val="none" w:sz="0" w:space="0" w:color="auto"/>
        <w:right w:val="none" w:sz="0" w:space="0" w:color="auto"/>
      </w:divBdr>
    </w:div>
    <w:div w:id="1131897158">
      <w:bodyDiv w:val="1"/>
      <w:marLeft w:val="0"/>
      <w:marRight w:val="0"/>
      <w:marTop w:val="0"/>
      <w:marBottom w:val="0"/>
      <w:divBdr>
        <w:top w:val="none" w:sz="0" w:space="0" w:color="auto"/>
        <w:left w:val="none" w:sz="0" w:space="0" w:color="auto"/>
        <w:bottom w:val="none" w:sz="0" w:space="0" w:color="auto"/>
        <w:right w:val="none" w:sz="0" w:space="0" w:color="auto"/>
      </w:divBdr>
      <w:divsChild>
        <w:div w:id="65812225">
          <w:marLeft w:val="0"/>
          <w:marRight w:val="0"/>
          <w:marTop w:val="0"/>
          <w:marBottom w:val="0"/>
          <w:divBdr>
            <w:top w:val="none" w:sz="0" w:space="0" w:color="auto"/>
            <w:left w:val="none" w:sz="0" w:space="0" w:color="auto"/>
            <w:bottom w:val="none" w:sz="0" w:space="0" w:color="auto"/>
            <w:right w:val="none" w:sz="0" w:space="0" w:color="auto"/>
          </w:divBdr>
          <w:divsChild>
            <w:div w:id="928585750">
              <w:marLeft w:val="-225"/>
              <w:marRight w:val="-225"/>
              <w:marTop w:val="0"/>
              <w:marBottom w:val="0"/>
              <w:divBdr>
                <w:top w:val="none" w:sz="0" w:space="0" w:color="auto"/>
                <w:left w:val="none" w:sz="0" w:space="0" w:color="auto"/>
                <w:bottom w:val="none" w:sz="0" w:space="0" w:color="auto"/>
                <w:right w:val="none" w:sz="0" w:space="0" w:color="auto"/>
              </w:divBdr>
              <w:divsChild>
                <w:div w:id="1328292207">
                  <w:marLeft w:val="0"/>
                  <w:marRight w:val="0"/>
                  <w:marTop w:val="0"/>
                  <w:marBottom w:val="0"/>
                  <w:divBdr>
                    <w:top w:val="none" w:sz="0" w:space="0" w:color="auto"/>
                    <w:left w:val="none" w:sz="0" w:space="0" w:color="auto"/>
                    <w:bottom w:val="none" w:sz="0" w:space="0" w:color="auto"/>
                    <w:right w:val="none" w:sz="0" w:space="0" w:color="auto"/>
                  </w:divBdr>
                  <w:divsChild>
                    <w:div w:id="217130125">
                      <w:marLeft w:val="0"/>
                      <w:marRight w:val="0"/>
                      <w:marTop w:val="0"/>
                      <w:marBottom w:val="0"/>
                      <w:divBdr>
                        <w:top w:val="none" w:sz="0" w:space="0" w:color="auto"/>
                        <w:left w:val="none" w:sz="0" w:space="0" w:color="auto"/>
                        <w:bottom w:val="none" w:sz="0" w:space="0" w:color="auto"/>
                        <w:right w:val="none" w:sz="0" w:space="0" w:color="auto"/>
                      </w:divBdr>
                      <w:divsChild>
                        <w:div w:id="575479824">
                          <w:marLeft w:val="0"/>
                          <w:marRight w:val="0"/>
                          <w:marTop w:val="0"/>
                          <w:marBottom w:val="0"/>
                          <w:divBdr>
                            <w:top w:val="none" w:sz="0" w:space="0" w:color="auto"/>
                            <w:left w:val="none" w:sz="0" w:space="0" w:color="auto"/>
                            <w:bottom w:val="none" w:sz="0" w:space="0" w:color="auto"/>
                            <w:right w:val="none" w:sz="0" w:space="0" w:color="auto"/>
                          </w:divBdr>
                          <w:divsChild>
                            <w:div w:id="1219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08768">
      <w:bodyDiv w:val="1"/>
      <w:marLeft w:val="0"/>
      <w:marRight w:val="0"/>
      <w:marTop w:val="0"/>
      <w:marBottom w:val="0"/>
      <w:divBdr>
        <w:top w:val="none" w:sz="0" w:space="0" w:color="auto"/>
        <w:left w:val="none" w:sz="0" w:space="0" w:color="auto"/>
        <w:bottom w:val="none" w:sz="0" w:space="0" w:color="auto"/>
        <w:right w:val="none" w:sz="0" w:space="0" w:color="auto"/>
      </w:divBdr>
    </w:div>
    <w:div w:id="1237402082">
      <w:bodyDiv w:val="1"/>
      <w:marLeft w:val="0"/>
      <w:marRight w:val="0"/>
      <w:marTop w:val="0"/>
      <w:marBottom w:val="0"/>
      <w:divBdr>
        <w:top w:val="none" w:sz="0" w:space="0" w:color="auto"/>
        <w:left w:val="none" w:sz="0" w:space="0" w:color="auto"/>
        <w:bottom w:val="none" w:sz="0" w:space="0" w:color="auto"/>
        <w:right w:val="none" w:sz="0" w:space="0" w:color="auto"/>
      </w:divBdr>
    </w:div>
    <w:div w:id="1336223446">
      <w:bodyDiv w:val="1"/>
      <w:marLeft w:val="0"/>
      <w:marRight w:val="0"/>
      <w:marTop w:val="0"/>
      <w:marBottom w:val="0"/>
      <w:divBdr>
        <w:top w:val="none" w:sz="0" w:space="0" w:color="auto"/>
        <w:left w:val="none" w:sz="0" w:space="0" w:color="auto"/>
        <w:bottom w:val="none" w:sz="0" w:space="0" w:color="auto"/>
        <w:right w:val="none" w:sz="0" w:space="0" w:color="auto"/>
      </w:divBdr>
    </w:div>
    <w:div w:id="1346904952">
      <w:bodyDiv w:val="1"/>
      <w:marLeft w:val="0"/>
      <w:marRight w:val="0"/>
      <w:marTop w:val="0"/>
      <w:marBottom w:val="0"/>
      <w:divBdr>
        <w:top w:val="none" w:sz="0" w:space="0" w:color="auto"/>
        <w:left w:val="none" w:sz="0" w:space="0" w:color="auto"/>
        <w:bottom w:val="none" w:sz="0" w:space="0" w:color="auto"/>
        <w:right w:val="none" w:sz="0" w:space="0" w:color="auto"/>
      </w:divBdr>
    </w:div>
    <w:div w:id="1367103301">
      <w:bodyDiv w:val="1"/>
      <w:marLeft w:val="0"/>
      <w:marRight w:val="0"/>
      <w:marTop w:val="0"/>
      <w:marBottom w:val="0"/>
      <w:divBdr>
        <w:top w:val="none" w:sz="0" w:space="0" w:color="auto"/>
        <w:left w:val="none" w:sz="0" w:space="0" w:color="auto"/>
        <w:bottom w:val="none" w:sz="0" w:space="0" w:color="auto"/>
        <w:right w:val="none" w:sz="0" w:space="0" w:color="auto"/>
      </w:divBdr>
    </w:div>
    <w:div w:id="1375153854">
      <w:bodyDiv w:val="1"/>
      <w:marLeft w:val="0"/>
      <w:marRight w:val="0"/>
      <w:marTop w:val="0"/>
      <w:marBottom w:val="0"/>
      <w:divBdr>
        <w:top w:val="none" w:sz="0" w:space="0" w:color="auto"/>
        <w:left w:val="none" w:sz="0" w:space="0" w:color="auto"/>
        <w:bottom w:val="none" w:sz="0" w:space="0" w:color="auto"/>
        <w:right w:val="none" w:sz="0" w:space="0" w:color="auto"/>
      </w:divBdr>
    </w:div>
    <w:div w:id="1486169303">
      <w:bodyDiv w:val="1"/>
      <w:marLeft w:val="0"/>
      <w:marRight w:val="0"/>
      <w:marTop w:val="0"/>
      <w:marBottom w:val="0"/>
      <w:divBdr>
        <w:top w:val="none" w:sz="0" w:space="0" w:color="auto"/>
        <w:left w:val="none" w:sz="0" w:space="0" w:color="auto"/>
        <w:bottom w:val="none" w:sz="0" w:space="0" w:color="auto"/>
        <w:right w:val="none" w:sz="0" w:space="0" w:color="auto"/>
      </w:divBdr>
    </w:div>
    <w:div w:id="1505777138">
      <w:bodyDiv w:val="1"/>
      <w:marLeft w:val="0"/>
      <w:marRight w:val="0"/>
      <w:marTop w:val="0"/>
      <w:marBottom w:val="0"/>
      <w:divBdr>
        <w:top w:val="none" w:sz="0" w:space="0" w:color="auto"/>
        <w:left w:val="none" w:sz="0" w:space="0" w:color="auto"/>
        <w:bottom w:val="none" w:sz="0" w:space="0" w:color="auto"/>
        <w:right w:val="none" w:sz="0" w:space="0" w:color="auto"/>
      </w:divBdr>
    </w:div>
    <w:div w:id="1535534806">
      <w:bodyDiv w:val="1"/>
      <w:marLeft w:val="0"/>
      <w:marRight w:val="0"/>
      <w:marTop w:val="0"/>
      <w:marBottom w:val="0"/>
      <w:divBdr>
        <w:top w:val="none" w:sz="0" w:space="0" w:color="auto"/>
        <w:left w:val="none" w:sz="0" w:space="0" w:color="auto"/>
        <w:bottom w:val="none" w:sz="0" w:space="0" w:color="auto"/>
        <w:right w:val="none" w:sz="0" w:space="0" w:color="auto"/>
      </w:divBdr>
    </w:div>
    <w:div w:id="1540894022">
      <w:bodyDiv w:val="1"/>
      <w:marLeft w:val="0"/>
      <w:marRight w:val="0"/>
      <w:marTop w:val="0"/>
      <w:marBottom w:val="0"/>
      <w:divBdr>
        <w:top w:val="none" w:sz="0" w:space="0" w:color="auto"/>
        <w:left w:val="none" w:sz="0" w:space="0" w:color="auto"/>
        <w:bottom w:val="none" w:sz="0" w:space="0" w:color="auto"/>
        <w:right w:val="none" w:sz="0" w:space="0" w:color="auto"/>
      </w:divBdr>
    </w:div>
    <w:div w:id="1568026957">
      <w:bodyDiv w:val="1"/>
      <w:marLeft w:val="0"/>
      <w:marRight w:val="0"/>
      <w:marTop w:val="0"/>
      <w:marBottom w:val="0"/>
      <w:divBdr>
        <w:top w:val="none" w:sz="0" w:space="0" w:color="auto"/>
        <w:left w:val="none" w:sz="0" w:space="0" w:color="auto"/>
        <w:bottom w:val="none" w:sz="0" w:space="0" w:color="auto"/>
        <w:right w:val="none" w:sz="0" w:space="0" w:color="auto"/>
      </w:divBdr>
    </w:div>
    <w:div w:id="1591083998">
      <w:bodyDiv w:val="1"/>
      <w:marLeft w:val="0"/>
      <w:marRight w:val="0"/>
      <w:marTop w:val="0"/>
      <w:marBottom w:val="0"/>
      <w:divBdr>
        <w:top w:val="none" w:sz="0" w:space="0" w:color="auto"/>
        <w:left w:val="none" w:sz="0" w:space="0" w:color="auto"/>
        <w:bottom w:val="none" w:sz="0" w:space="0" w:color="auto"/>
        <w:right w:val="none" w:sz="0" w:space="0" w:color="auto"/>
      </w:divBdr>
    </w:div>
    <w:div w:id="1627588026">
      <w:bodyDiv w:val="1"/>
      <w:marLeft w:val="0"/>
      <w:marRight w:val="0"/>
      <w:marTop w:val="0"/>
      <w:marBottom w:val="0"/>
      <w:divBdr>
        <w:top w:val="none" w:sz="0" w:space="0" w:color="auto"/>
        <w:left w:val="none" w:sz="0" w:space="0" w:color="auto"/>
        <w:bottom w:val="none" w:sz="0" w:space="0" w:color="auto"/>
        <w:right w:val="none" w:sz="0" w:space="0" w:color="auto"/>
      </w:divBdr>
    </w:div>
    <w:div w:id="1668750768">
      <w:bodyDiv w:val="1"/>
      <w:marLeft w:val="0"/>
      <w:marRight w:val="0"/>
      <w:marTop w:val="0"/>
      <w:marBottom w:val="0"/>
      <w:divBdr>
        <w:top w:val="none" w:sz="0" w:space="0" w:color="auto"/>
        <w:left w:val="none" w:sz="0" w:space="0" w:color="auto"/>
        <w:bottom w:val="none" w:sz="0" w:space="0" w:color="auto"/>
        <w:right w:val="none" w:sz="0" w:space="0" w:color="auto"/>
      </w:divBdr>
    </w:div>
    <w:div w:id="1749382854">
      <w:bodyDiv w:val="1"/>
      <w:marLeft w:val="0"/>
      <w:marRight w:val="0"/>
      <w:marTop w:val="0"/>
      <w:marBottom w:val="0"/>
      <w:divBdr>
        <w:top w:val="none" w:sz="0" w:space="0" w:color="auto"/>
        <w:left w:val="none" w:sz="0" w:space="0" w:color="auto"/>
        <w:bottom w:val="none" w:sz="0" w:space="0" w:color="auto"/>
        <w:right w:val="none" w:sz="0" w:space="0" w:color="auto"/>
      </w:divBdr>
    </w:div>
    <w:div w:id="1755126794">
      <w:bodyDiv w:val="1"/>
      <w:marLeft w:val="0"/>
      <w:marRight w:val="0"/>
      <w:marTop w:val="0"/>
      <w:marBottom w:val="0"/>
      <w:divBdr>
        <w:top w:val="none" w:sz="0" w:space="0" w:color="auto"/>
        <w:left w:val="none" w:sz="0" w:space="0" w:color="auto"/>
        <w:bottom w:val="none" w:sz="0" w:space="0" w:color="auto"/>
        <w:right w:val="none" w:sz="0" w:space="0" w:color="auto"/>
      </w:divBdr>
    </w:div>
    <w:div w:id="1781796894">
      <w:bodyDiv w:val="1"/>
      <w:marLeft w:val="0"/>
      <w:marRight w:val="0"/>
      <w:marTop w:val="0"/>
      <w:marBottom w:val="0"/>
      <w:divBdr>
        <w:top w:val="none" w:sz="0" w:space="0" w:color="auto"/>
        <w:left w:val="none" w:sz="0" w:space="0" w:color="auto"/>
        <w:bottom w:val="none" w:sz="0" w:space="0" w:color="auto"/>
        <w:right w:val="none" w:sz="0" w:space="0" w:color="auto"/>
      </w:divBdr>
    </w:div>
    <w:div w:id="1837381246">
      <w:bodyDiv w:val="1"/>
      <w:marLeft w:val="0"/>
      <w:marRight w:val="0"/>
      <w:marTop w:val="0"/>
      <w:marBottom w:val="0"/>
      <w:divBdr>
        <w:top w:val="none" w:sz="0" w:space="0" w:color="auto"/>
        <w:left w:val="none" w:sz="0" w:space="0" w:color="auto"/>
        <w:bottom w:val="none" w:sz="0" w:space="0" w:color="auto"/>
        <w:right w:val="none" w:sz="0" w:space="0" w:color="auto"/>
      </w:divBdr>
    </w:div>
    <w:div w:id="1857503356">
      <w:bodyDiv w:val="1"/>
      <w:marLeft w:val="0"/>
      <w:marRight w:val="0"/>
      <w:marTop w:val="0"/>
      <w:marBottom w:val="0"/>
      <w:divBdr>
        <w:top w:val="none" w:sz="0" w:space="0" w:color="auto"/>
        <w:left w:val="none" w:sz="0" w:space="0" w:color="auto"/>
        <w:bottom w:val="none" w:sz="0" w:space="0" w:color="auto"/>
        <w:right w:val="none" w:sz="0" w:space="0" w:color="auto"/>
      </w:divBdr>
    </w:div>
    <w:div w:id="1866098144">
      <w:bodyDiv w:val="1"/>
      <w:marLeft w:val="0"/>
      <w:marRight w:val="0"/>
      <w:marTop w:val="0"/>
      <w:marBottom w:val="0"/>
      <w:divBdr>
        <w:top w:val="none" w:sz="0" w:space="0" w:color="auto"/>
        <w:left w:val="none" w:sz="0" w:space="0" w:color="auto"/>
        <w:bottom w:val="none" w:sz="0" w:space="0" w:color="auto"/>
        <w:right w:val="none" w:sz="0" w:space="0" w:color="auto"/>
      </w:divBdr>
    </w:div>
    <w:div w:id="1948348653">
      <w:bodyDiv w:val="1"/>
      <w:marLeft w:val="0"/>
      <w:marRight w:val="0"/>
      <w:marTop w:val="0"/>
      <w:marBottom w:val="0"/>
      <w:divBdr>
        <w:top w:val="none" w:sz="0" w:space="0" w:color="auto"/>
        <w:left w:val="none" w:sz="0" w:space="0" w:color="auto"/>
        <w:bottom w:val="none" w:sz="0" w:space="0" w:color="auto"/>
        <w:right w:val="none" w:sz="0" w:space="0" w:color="auto"/>
      </w:divBdr>
    </w:div>
    <w:div w:id="2047441498">
      <w:bodyDiv w:val="1"/>
      <w:marLeft w:val="0"/>
      <w:marRight w:val="0"/>
      <w:marTop w:val="0"/>
      <w:marBottom w:val="0"/>
      <w:divBdr>
        <w:top w:val="none" w:sz="0" w:space="0" w:color="auto"/>
        <w:left w:val="none" w:sz="0" w:space="0" w:color="auto"/>
        <w:bottom w:val="none" w:sz="0" w:space="0" w:color="auto"/>
        <w:right w:val="none" w:sz="0" w:space="0" w:color="auto"/>
      </w:divBdr>
    </w:div>
    <w:div w:id="2083330537">
      <w:bodyDiv w:val="1"/>
      <w:marLeft w:val="0"/>
      <w:marRight w:val="0"/>
      <w:marTop w:val="0"/>
      <w:marBottom w:val="0"/>
      <w:divBdr>
        <w:top w:val="none" w:sz="0" w:space="0" w:color="auto"/>
        <w:left w:val="none" w:sz="0" w:space="0" w:color="auto"/>
        <w:bottom w:val="none" w:sz="0" w:space="0" w:color="auto"/>
        <w:right w:val="none" w:sz="0" w:space="0" w:color="auto"/>
      </w:divBdr>
    </w:div>
    <w:div w:id="2101681107">
      <w:bodyDiv w:val="1"/>
      <w:marLeft w:val="0"/>
      <w:marRight w:val="0"/>
      <w:marTop w:val="0"/>
      <w:marBottom w:val="0"/>
      <w:divBdr>
        <w:top w:val="none" w:sz="0" w:space="0" w:color="auto"/>
        <w:left w:val="none" w:sz="0" w:space="0" w:color="auto"/>
        <w:bottom w:val="none" w:sz="0" w:space="0" w:color="auto"/>
        <w:right w:val="none" w:sz="0" w:space="0" w:color="auto"/>
      </w:divBdr>
    </w:div>
    <w:div w:id="21425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86943.599371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5E25-12E3-4818-8660-79E7079E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Northumbria Healthcare NHS Foundation Trust</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Stainsby Laura (RTF) NHCT - Workforce Team</dc:creator>
  <cp:keywords/>
  <dc:description/>
  <cp:lastModifiedBy>Ceri Clark (Northumbria Healthcare)</cp:lastModifiedBy>
  <cp:revision>2</cp:revision>
  <cp:lastPrinted>2024-02-01T14:56:00Z</cp:lastPrinted>
  <dcterms:created xsi:type="dcterms:W3CDTF">2026-03-02T07:35:00Z</dcterms:created>
  <dcterms:modified xsi:type="dcterms:W3CDTF">2026-03-02T07:35:00Z</dcterms:modified>
</cp:coreProperties>
</file>