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165" w:leader="none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Minutes of </w:t>
      </w:r>
    </w:p>
    <w:p>
      <w:pPr>
        <w:pStyle w:val="Normal"/>
        <w:tabs>
          <w:tab w:val="clear" w:pos="720"/>
          <w:tab w:val="left" w:pos="3165" w:leader="none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NPC Felton Patient Participation Group (PPG) </w:t>
      </w:r>
    </w:p>
    <w:p>
      <w:pPr>
        <w:pStyle w:val="Normal"/>
        <w:tabs>
          <w:tab w:val="clear" w:pos="720"/>
          <w:tab w:val="left" w:pos="3165" w:leader="none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Meeting held at 2:25pm on Tuesday 14</w:t>
      </w:r>
      <w:r>
        <w:rPr>
          <w:rFonts w:cs="Arial"/>
          <w:b/>
          <w:sz w:val="28"/>
          <w:szCs w:val="28"/>
          <w:vertAlign w:val="superscript"/>
        </w:rPr>
        <w:t>th</w:t>
      </w:r>
      <w:r>
        <w:rPr>
          <w:rFonts w:cs="Arial"/>
          <w:b/>
          <w:sz w:val="28"/>
          <w:szCs w:val="28"/>
        </w:rPr>
        <w:t xml:space="preserve"> October at Felton Village Hall. </w:t>
      </w:r>
    </w:p>
    <w:p>
      <w:pPr>
        <w:pStyle w:val="Normal"/>
        <w:tabs>
          <w:tab w:val="clear" w:pos="720"/>
          <w:tab w:val="left" w:pos="3165" w:leader="none"/>
        </w:tabs>
        <w:jc w:val="center"/>
        <w:rPr>
          <w:rFonts w:cs="Arial"/>
          <w:b/>
        </w:rPr>
      </w:pPr>
      <w:r>
        <w:rPr>
          <w:rFonts w:cs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  <w:t xml:space="preserve">Present: </w:t>
      </w:r>
      <w:r>
        <w:rPr/>
        <w:t xml:space="preserve">Dorinda Jack (DJ)- PPG Member and Chair, Hazel Hood (HH)- PPG Member, Suzanne Beddow (SB)- PPG Member, Jennifer Parker (JP)- PPG Member, Jamie Day (JD)- PPG Member, Sam Morrison (SM)- Admin Lead, Dr Justine Norman (JN)- Exec GP, Lauren Townsley (LD)- Senior Care Co-ordinator, Rachel Pickels (RP)- Dispenser. </w:t>
      </w:r>
    </w:p>
    <w:p>
      <w:pPr>
        <w:pStyle w:val="ListParagraph"/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3165" w:leader="none"/>
          <w:tab w:val="center" w:pos="5026" w:leader="none"/>
        </w:tabs>
        <w:rPr/>
      </w:pPr>
      <w:r>
        <w:rPr>
          <w:b/>
          <w:bCs/>
        </w:rPr>
        <w:t>Apologies:</w:t>
      </w:r>
      <w:r>
        <w:rPr/>
        <w:t xml:space="preserve"> Jill Mark- PPG Member, Eileen Blagburn- PPG Member, Bryan Stanley- PPG Member, Elaine Medhurst- Practice Manager. </w:t>
      </w:r>
    </w:p>
    <w:p>
      <w:pPr>
        <w:pStyle w:val="ListParagraph"/>
        <w:tabs>
          <w:tab w:val="clear" w:pos="720"/>
          <w:tab w:val="left" w:pos="3165" w:leader="none"/>
        </w:tabs>
        <w:rPr/>
      </w:pPr>
      <w:r>
        <w:rPr/>
      </w:r>
    </w:p>
    <w:p>
      <w:pPr>
        <w:pStyle w:val="ListParagraph"/>
        <w:tabs>
          <w:tab w:val="clear" w:pos="720"/>
          <w:tab w:val="left" w:pos="3165" w:leader="none"/>
        </w:tabs>
        <w:rPr/>
      </w:pPr>
      <w:r>
        <w:rPr>
          <w:b/>
          <w:bCs/>
        </w:rPr>
        <w:t>Minute taker:</w:t>
      </w:r>
      <w:r>
        <w:rPr/>
        <w:t xml:space="preserve"> Lauren Townsley </w:t>
      </w:r>
    </w:p>
    <w:p>
      <w:pPr>
        <w:pStyle w:val="ListParagraph"/>
        <w:tabs>
          <w:tab w:val="clear" w:pos="720"/>
          <w:tab w:val="left" w:pos="316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  <w:color w:val="000000"/>
        </w:rPr>
        <w:t>Declaration</w:t>
      </w:r>
      <w:r>
        <w:rPr>
          <w:b/>
          <w:bCs/>
          <w:color w:val="000000"/>
        </w:rPr>
        <w:t>s</w:t>
      </w:r>
      <w:r>
        <w:rPr>
          <w:b/>
          <w:bCs/>
          <w:color w:val="000000"/>
        </w:rPr>
        <w:t xml:space="preserve"> of interest</w:t>
      </w:r>
      <w:r>
        <w:rPr>
          <w:color w:val="000000"/>
        </w:rPr>
        <w:t>: None.</w:t>
      </w:r>
    </w:p>
    <w:p>
      <w:pPr>
        <w:pStyle w:val="ListParagraph"/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  <w:t>Minutes of previous meeting held on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 2025 (approved via email)</w:t>
      </w:r>
    </w:p>
    <w:p>
      <w:pPr>
        <w:pStyle w:val="pf0"/>
        <w:numPr>
          <w:ilvl w:val="0"/>
          <w:numId w:val="1"/>
        </w:numPr>
        <w:spacing w:before="280" w:after="280"/>
        <w:rPr>
          <w:rFonts w:ascii="Aptos Display" w:hAnsi="Aptos Display" w:eastAsia="" w:cs="Segoe UI" w:asciiTheme="majorHAnsi" w:eastAsiaTheme="majorEastAsia" w:hAnsiTheme="majorHAnsi"/>
        </w:rPr>
      </w:pPr>
      <w:r>
        <w:rPr>
          <w:rStyle w:val="cf01"/>
          <w:rFonts w:eastAsia="" w:ascii="Aptos Display" w:hAnsi="Aptos Display" w:asciiTheme="majorHAnsi" w:eastAsiaTheme="majorEastAsia" w:hAnsiTheme="majorHAnsi"/>
          <w:b/>
          <w:bCs/>
          <w:sz w:val="24"/>
          <w:szCs w:val="24"/>
        </w:rPr>
        <w:t xml:space="preserve">Action Points Outstanding </w:t>
      </w:r>
    </w:p>
    <w:tbl>
      <w:tblPr>
        <w:tblW w:w="998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"/>
        <w:gridCol w:w="4373"/>
        <w:gridCol w:w="4530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16/01/25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EM will follow up with patient interested in joining the PPG and will encourage Widdrington patients to get involved for that part of the practice.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No contact details available.</w:t>
            </w:r>
          </w:p>
          <w:p>
            <w:pPr>
              <w:pStyle w:val="BodyText"/>
              <w:rPr/>
            </w:pPr>
            <w:r>
              <w:rPr/>
              <w:t>Widdrington recruitment ongoing with Practice manager. Agreed that Widdrington PPG remains separate from Felton PPG.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24/04/25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RP to look at training available from Carers Northumberland and include other staff where applicable.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There has been no time to progress this. </w:t>
            </w:r>
            <w:r>
              <w:rPr/>
              <w:t xml:space="preserve">Increased workload due to increasing patient numbers has impacted the availability of RP in respect of carer support activity. </w:t>
            </w:r>
            <w:r>
              <w:rPr/>
              <w:t>JN will consider who else might take the lead.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BS to try out the NHS App website and Feedback in respect of accessing messages.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Resolved with a new phone. No other  examples of </w:t>
            </w:r>
            <w:r>
              <w:rPr/>
              <w:t xml:space="preserve">patients having </w:t>
            </w:r>
            <w:r>
              <w:rPr/>
              <w:t>difficulty.  Reception team will continue to offer digital assistance to any patient who asks.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SM to speak to comms re staff training day closure messages to patients.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Messages now go out 2 days before a closure.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SM to speak to comms re newsletter information.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DJ will raise at her meeting with communications manager.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SM and LT to look into new registration packs.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In hand with reception team. </w:t>
            </w:r>
          </w:p>
          <w:p>
            <w:pPr>
              <w:pStyle w:val="BodyText"/>
              <w:rPr/>
            </w:pPr>
            <w:r>
              <w:rPr/>
              <w:t>SB emphasised the need for a welcome letter as part of the registration pack.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LT to invite potential new PPG members to the next meeting.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LT to email JM regarding upstairs access/lift and accessible toilet at Felton Surgery.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LT emailed JM – awaiting response. Meeting scheduled for 20/10/25.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17/07/25 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LT to email JM about outside noticeboard/use of windows for information sharing.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LT emailed JM – awaiting response. Meeting scheduled for 20/10/25.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DJ to circulate any notes from her Healthwatch meeting.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SB to suggest words for FAQ – What does the PPG feel about the refurbishment project.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Agreed and sent to comms.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Closed.</w:t>
            </w:r>
          </w:p>
        </w:tc>
      </w:tr>
    </w:tbl>
    <w:p>
      <w:pPr>
        <w:pStyle w:val="Normal"/>
        <w:tabs>
          <w:tab w:val="clear" w:pos="720"/>
          <w:tab w:val="left" w:pos="316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/>
      </w:pPr>
      <w:r>
        <w:rPr>
          <w:b/>
          <w:bCs/>
        </w:rPr>
        <w:t xml:space="preserve">Surgery Refurbishment update and questions from Patients: 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  <w:t>Unfortunately, nobody attending the meeting today has current information on the Refurbishment. SM and EM attending a Felton refurbishment meeting on Monday 20</w:t>
      </w:r>
      <w:r>
        <w:rPr>
          <w:vertAlign w:val="superscript"/>
        </w:rPr>
        <w:t>th</w:t>
      </w:r>
      <w:r>
        <w:rPr/>
        <w:t xml:space="preserve"> October so will update the PPG members once this has taken place. (Action Point) 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  <w:t xml:space="preserve">SB mentioned </w:t>
      </w:r>
      <w:r>
        <w:rPr/>
        <w:t>the benefits of</w:t>
      </w:r>
      <w:r>
        <w:rPr/>
        <w:t xml:space="preserve"> getting a shower fitted for clinicians to use, SM will mention this at the refurbishment meeting on Monday. (Action Point)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Changes to clinic schedule or staff. </w:t>
      </w:r>
    </w:p>
    <w:p>
      <w:pPr>
        <w:pStyle w:val="ListParagraph"/>
        <w:ind w:left="1494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JN explained that Dr Wilcox has now left the Practice and the Surgery are busy recruiting a new GP replacement. JN mentioned that until a new GP is in post Felton Surgery would have a GP 2 mornings a week and an ACP 1 morning a week. Once dates have been confirmed SM will ensure these are uploaded to the Surgery website </w:t>
      </w:r>
      <w:r>
        <w:rPr/>
        <w:t>clinic schedule</w:t>
      </w:r>
      <w:r>
        <w:rPr/>
        <w:t xml:space="preserve">. (Action Point) </w:t>
      </w:r>
    </w:p>
    <w:p>
      <w:pPr>
        <w:pStyle w:val="Normal"/>
        <w:rPr/>
      </w:pPr>
      <w:r>
        <w:rPr/>
        <w:t xml:space="preserve">SM will remind Care Co-ordinators to inform patients which Clinician they are seeing and ask that all Clinicians introduce themselves to the patient at the start of their appointment. </w:t>
      </w:r>
    </w:p>
    <w:p>
      <w:pPr>
        <w:pStyle w:val="Normal"/>
        <w:rPr/>
      </w:pPr>
      <w:r>
        <w:rPr/>
        <w:t xml:space="preserve">Following the temporary swap in Practice Lead's, LT has now gone back to Amble and EM is back in post as Practice Lead for Felton and Widdrington Surgery. </w:t>
      </w:r>
    </w:p>
    <w:p>
      <w:pPr>
        <w:pStyle w:val="Normal"/>
        <w:rPr/>
      </w:pPr>
      <w:r>
        <w:rPr/>
        <w:t xml:space="preserve">David Mercer is now offering Physiotherapy appointments one Wednesday a month at Felton Surgery. </w:t>
      </w:r>
    </w:p>
    <w:p>
      <w:pPr>
        <w:pStyle w:val="Normal"/>
        <w:rPr/>
      </w:pPr>
      <w:r>
        <w:rPr/>
        <w:t xml:space="preserve">Two apprentices have been given permanent contracts with NPC Felton and Widdrington and a new apprentice is starting in November. </w:t>
      </w:r>
    </w:p>
    <w:p>
      <w:pPr>
        <w:pStyle w:val="Normal"/>
        <w:rPr/>
      </w:pPr>
      <w:r>
        <w:rPr/>
        <w:t xml:space="preserve">District Nurse Clinics are going ahead again at Felton Surgery on a Monday, these appointments are pre booked through the District Nurse. </w:t>
      </w:r>
    </w:p>
    <w:p>
      <w:pPr>
        <w:pStyle w:val="Normal"/>
        <w:rPr>
          <w:b/>
          <w:bCs/>
        </w:rPr>
      </w:pPr>
      <w:r>
        <w:rPr/>
        <w:t xml:space="preserve">A DWP adviser is starting </w:t>
      </w:r>
      <w:r>
        <w:rPr/>
        <w:t>in Widdrington</w:t>
      </w:r>
      <w:r>
        <w:rPr/>
        <w:t xml:space="preserve"> on a Monday from the end of October. JN will see if they can come to Felton once a month. </w:t>
      </w:r>
    </w:p>
    <w:p>
      <w:pPr>
        <w:pStyle w:val="ListParagraph"/>
        <w:tabs>
          <w:tab w:val="clear" w:pos="720"/>
          <w:tab w:val="left" w:pos="316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  <w:t xml:space="preserve">Patient Feedback 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  <w:t xml:space="preserve">JN informed everyone that our Friends and Family survey results were 96.7% in September with very positive feedback from patients at both Felton and Widdrington Surgery. 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  <w:t xml:space="preserve">SB talked about the </w:t>
      </w:r>
      <w:r>
        <w:rPr/>
        <w:t xml:space="preserve">need for </w:t>
      </w:r>
      <w:r>
        <w:rPr/>
        <w:t xml:space="preserve">general upkeep/tidying of outside the front of the Surgery, SM to speak to the Gardener to come out. (Action Point) </w:t>
      </w:r>
    </w:p>
    <w:p>
      <w:pPr>
        <w:pStyle w:val="Normal"/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/>
      </w:pPr>
      <w:r>
        <w:rPr>
          <w:b/>
          <w:bCs/>
        </w:rPr>
        <w:t>AOB</w:t>
      </w:r>
    </w:p>
    <w:p>
      <w:pPr>
        <w:pStyle w:val="ListParagraph"/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3165" w:leader="none"/>
        </w:tabs>
        <w:rPr>
          <w:color w:val="000000"/>
        </w:rPr>
      </w:pPr>
      <w:r>
        <w:rPr>
          <w:color w:val="000000"/>
        </w:rPr>
        <w:t xml:space="preserve">DJ </w:t>
      </w:r>
      <w:r>
        <w:rPr>
          <w:color w:val="000000"/>
        </w:rPr>
        <w:t>asked</w:t>
      </w:r>
      <w:r>
        <w:rPr>
          <w:color w:val="000000"/>
        </w:rPr>
        <w:t xml:space="preserve"> about putting information/updates regarding to the Surgery in local newsletters, SM will speak to comms regarding this. (Action Point) </w:t>
      </w:r>
    </w:p>
    <w:p>
      <w:pPr>
        <w:pStyle w:val="Normal"/>
        <w:tabs>
          <w:tab w:val="clear" w:pos="720"/>
          <w:tab w:val="left" w:pos="3165" w:leader="none"/>
        </w:tabs>
        <w:rPr>
          <w:color w:val="000000"/>
        </w:rPr>
      </w:pPr>
      <w:r>
        <w:rPr>
          <w:color w:val="000000"/>
        </w:rPr>
        <w:t xml:space="preserve">JN </w:t>
      </w:r>
      <w:r>
        <w:rPr>
          <w:color w:val="000000"/>
        </w:rPr>
        <w:t>offered to do an article</w:t>
      </w:r>
      <w:r>
        <w:rPr>
          <w:color w:val="000000"/>
        </w:rPr>
        <w:t xml:space="preserve"> about the Research Team so people have a better understanding of what it is they do. (Action Point) </w:t>
      </w:r>
    </w:p>
    <w:p>
      <w:pPr>
        <w:pStyle w:val="Normal"/>
        <w:tabs>
          <w:tab w:val="clear" w:pos="720"/>
          <w:tab w:val="left" w:pos="3165" w:leader="none"/>
        </w:tabs>
        <w:rPr>
          <w:color w:val="000000"/>
        </w:rPr>
      </w:pPr>
      <w:r>
        <w:rPr>
          <w:color w:val="000000"/>
        </w:rPr>
        <w:t>DJ asked about the impact of the</w:t>
      </w:r>
      <w:r>
        <w:rPr>
          <w:color w:val="000000"/>
        </w:rPr>
        <w:t xml:space="preserve"> new GP cont</w:t>
      </w:r>
      <w:r>
        <w:rPr>
          <w:color w:val="000000"/>
        </w:rPr>
        <w:t>r</w:t>
      </w:r>
      <w:r>
        <w:rPr>
          <w:color w:val="000000"/>
        </w:rPr>
        <w:t xml:space="preserve">act </w:t>
      </w:r>
      <w:r>
        <w:rPr>
          <w:color w:val="000000"/>
        </w:rPr>
        <w:t>on service levels; in particular the availability of Systmconnect. The contract is</w:t>
      </w:r>
      <w:r>
        <w:rPr>
          <w:color w:val="000000"/>
        </w:rPr>
        <w:t xml:space="preserve"> effective from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October 2025 </w:t>
      </w:r>
      <w:r>
        <w:rPr>
          <w:color w:val="000000"/>
        </w:rPr>
        <w:t>and</w:t>
      </w:r>
      <w:r>
        <w:rPr>
          <w:color w:val="000000"/>
        </w:rPr>
        <w:t xml:space="preserve"> include</w:t>
      </w:r>
      <w:r>
        <w:rPr>
          <w:color w:val="000000"/>
        </w:rPr>
        <w:t xml:space="preserve">s </w:t>
      </w:r>
      <w:r>
        <w:rPr>
          <w:color w:val="000000"/>
        </w:rPr>
        <w:t xml:space="preserve">the surgery premises, phones and online consultation tools </w:t>
      </w:r>
      <w:r>
        <w:rPr>
          <w:color w:val="000000"/>
        </w:rPr>
        <w:t>needing</w:t>
      </w:r>
      <w:r>
        <w:rPr>
          <w:color w:val="000000"/>
        </w:rPr>
        <w:t xml:space="preserve"> to be available during core hours. The core hours are now 8:00am-6:30pm Monday-Friday. Felton premises opening hours remain 8:00-2:00 until further notice, however </w:t>
      </w:r>
      <w:r>
        <w:rPr>
          <w:color w:val="000000"/>
        </w:rPr>
        <w:t xml:space="preserve">Widdrington is open as required, and </w:t>
      </w:r>
      <w:r>
        <w:rPr>
          <w:color w:val="000000"/>
        </w:rPr>
        <w:t xml:space="preserve">patients can </w:t>
      </w:r>
      <w:r>
        <w:rPr>
          <w:color w:val="000000"/>
        </w:rPr>
        <w:t>also</w:t>
      </w:r>
      <w:r>
        <w:rPr>
          <w:color w:val="000000"/>
        </w:rPr>
        <w:t xml:space="preserve"> </w:t>
      </w:r>
      <w:r>
        <w:rPr>
          <w:color w:val="000000"/>
        </w:rPr>
        <w:t xml:space="preserve">phone, or </w:t>
      </w:r>
      <w:r>
        <w:rPr>
          <w:color w:val="000000"/>
        </w:rPr>
        <w:t xml:space="preserve">access online consultations using Systmconnect via the Surgery website until 6:30pm. 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/>
      </w:pPr>
      <w:r>
        <w:rPr>
          <w:b/>
          <w:bCs/>
        </w:rPr>
        <w:t xml:space="preserve"> </w:t>
      </w:r>
      <w:r>
        <w:rPr>
          <w:b/>
          <w:bCs/>
        </w:rPr>
        <w:t>Date of Next Meeting – Tuesday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January 11am at Felton Village Hall. </w:t>
      </w:r>
    </w:p>
    <w:p>
      <w:pPr>
        <w:pStyle w:val="ListParagraph"/>
        <w:tabs>
          <w:tab w:val="clear" w:pos="720"/>
          <w:tab w:val="left" w:pos="3165" w:leader="none"/>
        </w:tabs>
        <w:ind w:left="1494"/>
        <w:rPr>
          <w:b/>
          <w:bCs/>
        </w:rPr>
      </w:pPr>
      <w:r>
        <w:rPr>
          <w:b/>
          <w:bCs/>
        </w:rPr>
      </w:r>
    </w:p>
    <w:p>
      <w:pPr>
        <w:pStyle w:val="ListParagraph"/>
        <w:tabs>
          <w:tab w:val="clear" w:pos="720"/>
          <w:tab w:val="left" w:pos="3165" w:leader="none"/>
        </w:tabs>
        <w:ind w:left="1494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65" w:leader="none"/>
        </w:tabs>
        <w:rPr/>
      </w:pPr>
      <w:r>
        <w:rPr>
          <w:b/>
          <w:bCs/>
        </w:rPr>
        <w:t>Meeting dates and times</w:t>
      </w:r>
      <w:r>
        <w:rPr/>
        <w:t>.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  <w:t xml:space="preserve"> </w:t>
      </w:r>
      <w:r>
        <w:rPr/>
        <w:t xml:space="preserve">DJ expressed it would be a good idea to </w:t>
      </w:r>
      <w:r>
        <w:rPr/>
        <w:t xml:space="preserve">discuss availability and agree dates for </w:t>
      </w:r>
      <w:r>
        <w:rPr/>
        <w:t xml:space="preserve">the next 3-4 </w:t>
      </w:r>
      <w:r>
        <w:rPr/>
        <w:t xml:space="preserve">meetings. Ideas such as alternating days and/or times were floated as a way to ensure inclusivity of both patients and staff. </w:t>
      </w:r>
      <w:r>
        <w:rPr/>
        <w:t xml:space="preserve">SM will </w:t>
      </w:r>
      <w:r>
        <w:rPr/>
        <w:t>discuss</w:t>
      </w:r>
      <w:r>
        <w:rPr/>
        <w:t xml:space="preserve"> with EM and get back to DJ regarding this. </w:t>
      </w:r>
      <w:r>
        <w:rPr/>
        <w:t>(</w:t>
      </w:r>
      <w:r>
        <w:rPr/>
        <w:t xml:space="preserve">Action Point) </w:t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316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3165" w:leader="none"/>
        </w:tabs>
        <w:rPr>
          <w:b/>
          <w:bCs/>
        </w:rPr>
      </w:pPr>
      <w:r>
        <w:rPr>
          <w:b/>
          <w:bCs/>
        </w:rPr>
        <w:t xml:space="preserve">Action Log </w:t>
      </w:r>
    </w:p>
    <w:tbl>
      <w:tblPr>
        <w:tblW w:w="998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276"/>
        <w:gridCol w:w="4174"/>
        <w:gridCol w:w="4530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24/04/25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RP to look at training available from Carers Northumberland and include other staff where applicable.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There has been no time to progress this. </w:t>
            </w:r>
            <w:r>
              <w:rPr/>
              <w:t xml:space="preserve">Increased workload due to increasing patient numbers has impacted the availability of RP in respect of carer support activity. 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JN will consider who else might take the lead.</w:t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SM to speak to comms re newsletter information.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DJ will raise at her meeting with communications manager.</w:t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17/07/25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LT to email JM regarding upstairs access/lift and accessible toilet at Felton Surgery.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LT emailed JM – awaiting response. Meeting scheduled for 20/10/25.</w:t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17/07/25 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LT to email JM about outside noticeboard/use of windows for information sharing.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LT emailed JM – awaiting response. Meeting scheduled for 20/10/25.</w:t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14/10/25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JN to schedule a temporary weekly ACP clinic, until new GP is assigned.</w:t>
            </w:r>
          </w:p>
          <w:p>
            <w:pPr>
              <w:pStyle w:val="BodyText"/>
              <w:spacing w:before="0" w:after="140"/>
              <w:rPr/>
            </w:pPr>
            <w:r>
              <w:rPr/>
              <w:t>Clinic schedule to be updated on the web.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14/10/25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SM to update the group regards surgery refurbishment after the project meeting on 20/10/25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14/10/25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SM to speak to gardener re tidying front of Felton premises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14/10/25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SM to speak to Refurbishment team about a shower for clinicians.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14/10/25</w:t>
            </w:r>
          </w:p>
        </w:tc>
        <w:tc>
          <w:tcPr>
            <w:tcW w:w="4174" w:type="dxa"/>
            <w:tcBorders>
              <w:lef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JN to arrange a ‘research’ update for The Bridge.</w:t>
            </w:r>
          </w:p>
        </w:tc>
        <w:tc>
          <w:tcPr>
            <w:tcW w:w="4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>14/10/25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  <w:t xml:space="preserve">SM to speak to EM regarding arranging next 3-4 PPG meeting dates. 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3165" w:leader="none"/>
        </w:tabs>
        <w:spacing w:before="0" w:after="160"/>
        <w:rPr>
          <w:b/>
          <w:bCs/>
        </w:rPr>
      </w:pPr>
      <w:r>
        <w:rPr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440" w:gutter="0" w:header="708" w:top="3119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-157480</wp:posOffset>
          </wp:positionH>
          <wp:positionV relativeFrom="page">
            <wp:posOffset>9820275</wp:posOffset>
          </wp:positionV>
          <wp:extent cx="8203565" cy="857250"/>
          <wp:effectExtent l="0" t="0" r="0" b="0"/>
          <wp:wrapNone/>
          <wp:docPr id="5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0356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-157480</wp:posOffset>
          </wp:positionH>
          <wp:positionV relativeFrom="page">
            <wp:posOffset>9820275</wp:posOffset>
          </wp:positionV>
          <wp:extent cx="8203565" cy="857250"/>
          <wp:effectExtent l="0" t="0" r="0" b="0"/>
          <wp:wrapNone/>
          <wp:docPr id="6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0356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4313555</wp:posOffset>
          </wp:positionH>
          <wp:positionV relativeFrom="paragraph">
            <wp:posOffset>27940</wp:posOffset>
          </wp:positionV>
          <wp:extent cx="2001520" cy="523875"/>
          <wp:effectExtent l="0" t="0" r="0" b="0"/>
          <wp:wrapSquare wrapText="bothSides"/>
          <wp:docPr id="1" name="Image2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A black backgroun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posOffset>-205740</wp:posOffset>
          </wp:positionH>
          <wp:positionV relativeFrom="topMargin">
            <wp:posOffset>276225</wp:posOffset>
          </wp:positionV>
          <wp:extent cx="1509395" cy="1509395"/>
          <wp:effectExtent l="0" t="0" r="0" b="0"/>
          <wp:wrapSquare wrapText="bothSides"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50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4313555</wp:posOffset>
          </wp:positionH>
          <wp:positionV relativeFrom="paragraph">
            <wp:posOffset>27940</wp:posOffset>
          </wp:positionV>
          <wp:extent cx="2001520" cy="523875"/>
          <wp:effectExtent l="0" t="0" r="0" b="0"/>
          <wp:wrapSquare wrapText="bothSides"/>
          <wp:docPr id="3" name="Image2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A black backgroun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posOffset>-205740</wp:posOffset>
          </wp:positionH>
          <wp:positionV relativeFrom="topMargin">
            <wp:posOffset>276225</wp:posOffset>
          </wp:positionV>
          <wp:extent cx="1509395" cy="1509395"/>
          <wp:effectExtent l="0" t="0" r="0" b="0"/>
          <wp:wrapSquare wrapText="bothSides"/>
          <wp:docPr id="4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50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74"/>
        </w:tabs>
        <w:ind w:left="1494" w:hanging="360"/>
      </w:pPr>
      <w:rPr>
        <w:b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2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2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2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2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2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2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2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2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2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74c2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974c2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74c2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974c28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974c28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74c28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974c28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974c28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974c28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974c2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74c2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974c2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74c28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74c2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74c28"/>
    <w:rPr>
      <w:b/>
      <w:bCs/>
      <w:smallCaps/>
      <w:color w:themeColor="accent1" w:themeShade="bf" w:val="0F4761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74c2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74c28"/>
    <w:rPr/>
  </w:style>
  <w:style w:type="character" w:styleId="LineNumber">
    <w:name w:val="line number"/>
    <w:rPr/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d44bb1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44bb1"/>
    <w:rPr>
      <w:color w:val="605E5C"/>
      <w:shd w:fill="E1DFDD" w:val="clear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f01" w:customStyle="1">
    <w:name w:val="cf01"/>
    <w:basedOn w:val="DefaultParagraphFont"/>
    <w:qFormat/>
    <w:rsid w:val="00ca5bbe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974c2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2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2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74c2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74c28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74c28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mment" w:customStyle="1">
    <w:name w:val="Comment"/>
    <w:basedOn w:val="Normal"/>
    <w:qFormat/>
    <w:pPr>
      <w:spacing w:lineRule="auto" w:line="240" w:before="56" w:after="0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pf0" w:customStyle="1">
    <w:name w:val="pf0"/>
    <w:basedOn w:val="Normal"/>
    <w:qFormat/>
    <w:rsid w:val="00ca5bbe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LibreOffice/25.2.5.2$Windows_X86_64 LibreOffice_project/03d19516eb2e1dd5d4ccd751a0d6f35f35e08022</Application>
  <AppVersion>15.0000</AppVersion>
  <Pages>5</Pages>
  <Words>1160</Words>
  <Characters>6048</Characters>
  <CharactersWithSpaces>7146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2025-10-17T14:56:00Z</dcterms:created>
  <dc:creator>Hutchinson Laura (RTF) NHCT</dc:creator>
  <dc:description/>
  <dc:language>en-GB</dc:language>
  <cp:lastModifiedBy/>
  <cp:lastPrinted>2024-08-27T11:20:00Z</cp:lastPrinted>
  <dcterms:modified xsi:type="dcterms:W3CDTF">2025-10-23T15:10:52Z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